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BCC1E" w14:textId="04D1E518" w:rsidR="00820508" w:rsidRPr="00C35BC8" w:rsidRDefault="00820508" w:rsidP="00820508">
      <w:pPr>
        <w:pStyle w:val="3GPPHeader"/>
        <w:spacing w:after="60"/>
        <w:rPr>
          <w:rFonts w:cs="Arial"/>
          <w:sz w:val="32"/>
          <w:szCs w:val="32"/>
          <w:highlight w:val="yellow"/>
          <w:lang w:val="de-DE"/>
        </w:rPr>
      </w:pPr>
      <w:bookmarkStart w:id="0" w:name="_Hlk512852793"/>
      <w:r w:rsidRPr="00C35BC8">
        <w:rPr>
          <w:rFonts w:cs="Arial"/>
          <w:lang w:val="de-DE"/>
        </w:rPr>
        <w:t>3GPP TSG-RAN WG2 #10</w:t>
      </w:r>
      <w:r w:rsidR="005A456C">
        <w:rPr>
          <w:rFonts w:cs="Arial"/>
          <w:lang w:val="de-DE"/>
        </w:rPr>
        <w:t>9</w:t>
      </w:r>
      <w:r w:rsidR="00F05095">
        <w:rPr>
          <w:rFonts w:cs="Arial"/>
          <w:lang w:val="de-DE"/>
        </w:rPr>
        <w:t>bis</w:t>
      </w:r>
      <w:r w:rsidR="00994666">
        <w:rPr>
          <w:rFonts w:cs="Arial"/>
          <w:lang w:val="de-DE"/>
        </w:rPr>
        <w:t>-</w:t>
      </w:r>
      <w:r w:rsidR="00E77E5D">
        <w:rPr>
          <w:rFonts w:cs="Arial"/>
          <w:lang w:val="de-DE"/>
        </w:rPr>
        <w:t>e</w:t>
      </w:r>
      <w:r w:rsidRPr="00C35BC8">
        <w:rPr>
          <w:rFonts w:cs="Arial"/>
          <w:lang w:val="de-DE"/>
        </w:rPr>
        <w:tab/>
      </w:r>
      <w:r w:rsidRPr="000A4BA8">
        <w:rPr>
          <w:rFonts w:cs="Arial"/>
          <w:sz w:val="32"/>
          <w:szCs w:val="32"/>
          <w:lang w:val="de-DE"/>
        </w:rPr>
        <w:t>R2-</w:t>
      </w:r>
      <w:r w:rsidR="00A05CEE" w:rsidRPr="000A4BA8">
        <w:rPr>
          <w:rFonts w:cs="Arial"/>
          <w:sz w:val="32"/>
          <w:szCs w:val="32"/>
          <w:lang w:val="de-DE"/>
        </w:rPr>
        <w:t>20</w:t>
      </w:r>
      <w:r w:rsidR="000A4BA8" w:rsidRPr="000A4BA8">
        <w:rPr>
          <w:rFonts w:cs="Arial"/>
          <w:sz w:val="32"/>
          <w:szCs w:val="32"/>
          <w:lang w:val="de-DE"/>
        </w:rPr>
        <w:t>03215</w:t>
      </w:r>
    </w:p>
    <w:bookmarkEnd w:id="0"/>
    <w:p w14:paraId="29825259" w14:textId="4A372DBA" w:rsidR="00820508" w:rsidRPr="007A6B98" w:rsidRDefault="00994666" w:rsidP="00CA5B56">
      <w:pPr>
        <w:pStyle w:val="CRCoverPage"/>
        <w:tabs>
          <w:tab w:val="right" w:pos="9639"/>
        </w:tabs>
        <w:outlineLvl w:val="0"/>
        <w:rPr>
          <w:rFonts w:cs="Arial"/>
          <w:b/>
          <w:noProof/>
          <w:sz w:val="24"/>
        </w:rPr>
      </w:pPr>
      <w:r>
        <w:rPr>
          <w:rFonts w:cs="Arial"/>
          <w:b/>
          <w:noProof/>
          <w:sz w:val="24"/>
        </w:rPr>
        <w:t>Electronic</w:t>
      </w:r>
      <w:r w:rsidR="00E77E5D">
        <w:rPr>
          <w:rFonts w:cs="Arial"/>
          <w:b/>
          <w:noProof/>
          <w:sz w:val="24"/>
        </w:rPr>
        <w:t xml:space="preserve"> Meeting</w:t>
      </w:r>
      <w:r w:rsidR="00820508" w:rsidRPr="007A6B98">
        <w:rPr>
          <w:rFonts w:cs="Arial"/>
          <w:b/>
          <w:noProof/>
          <w:sz w:val="24"/>
        </w:rPr>
        <w:t xml:space="preserve">, </w:t>
      </w:r>
      <w:r w:rsidR="00C3417C">
        <w:rPr>
          <w:rFonts w:cs="Arial"/>
          <w:b/>
          <w:noProof/>
          <w:sz w:val="26"/>
          <w:szCs w:val="22"/>
        </w:rPr>
        <w:t>20</w:t>
      </w:r>
      <w:r w:rsidR="00C3417C" w:rsidRPr="00A66E8C">
        <w:rPr>
          <w:rFonts w:cs="Arial"/>
          <w:b/>
          <w:noProof/>
          <w:sz w:val="26"/>
          <w:szCs w:val="22"/>
          <w:vertAlign w:val="superscript"/>
        </w:rPr>
        <w:t>th</w:t>
      </w:r>
      <w:r w:rsidR="00C3417C" w:rsidRPr="00A66E8C">
        <w:rPr>
          <w:rFonts w:cs="Arial"/>
          <w:b/>
          <w:noProof/>
          <w:sz w:val="26"/>
          <w:szCs w:val="22"/>
        </w:rPr>
        <w:t xml:space="preserve">– </w:t>
      </w:r>
      <w:r w:rsidR="00C3417C">
        <w:rPr>
          <w:rFonts w:cs="Arial"/>
          <w:b/>
          <w:noProof/>
          <w:sz w:val="26"/>
          <w:szCs w:val="22"/>
        </w:rPr>
        <w:t>30</w:t>
      </w:r>
      <w:r w:rsidR="00C3417C" w:rsidRPr="00A66E8C">
        <w:rPr>
          <w:rFonts w:cs="Arial"/>
          <w:b/>
          <w:noProof/>
          <w:sz w:val="26"/>
          <w:szCs w:val="22"/>
          <w:vertAlign w:val="superscript"/>
        </w:rPr>
        <w:t>th</w:t>
      </w:r>
      <w:r w:rsidR="00C3417C" w:rsidRPr="00A66E8C">
        <w:rPr>
          <w:rFonts w:cs="Arial"/>
          <w:b/>
          <w:noProof/>
          <w:sz w:val="26"/>
          <w:szCs w:val="22"/>
        </w:rPr>
        <w:t xml:space="preserve"> </w:t>
      </w:r>
      <w:r w:rsidR="00C3417C">
        <w:rPr>
          <w:rFonts w:cs="Arial"/>
          <w:b/>
          <w:noProof/>
          <w:sz w:val="26"/>
          <w:szCs w:val="22"/>
        </w:rPr>
        <w:t xml:space="preserve">April </w:t>
      </w:r>
      <w:r w:rsidR="00C3417C" w:rsidRPr="00A66E8C">
        <w:rPr>
          <w:rFonts w:cs="Arial"/>
          <w:b/>
          <w:noProof/>
          <w:sz w:val="26"/>
          <w:szCs w:val="22"/>
        </w:rPr>
        <w:t>2020</w:t>
      </w:r>
      <w:r w:rsidR="00CA5B56">
        <w:rPr>
          <w:rFonts w:cs="Arial"/>
          <w:b/>
          <w:noProof/>
          <w:sz w:val="24"/>
        </w:rPr>
        <w:tab/>
      </w:r>
    </w:p>
    <w:p w14:paraId="3011E05E" w14:textId="77777777" w:rsidR="00201BEF" w:rsidRPr="007A6B98" w:rsidRDefault="00201BEF" w:rsidP="00201BEF">
      <w:pPr>
        <w:pStyle w:val="3GPPHeader"/>
        <w:rPr>
          <w:rFonts w:cs="Arial"/>
        </w:rPr>
      </w:pPr>
    </w:p>
    <w:p w14:paraId="38D93AEF" w14:textId="40044E2C" w:rsidR="00201BEF" w:rsidRPr="007A6B98" w:rsidRDefault="00201BEF" w:rsidP="005C3812">
      <w:pPr>
        <w:pStyle w:val="3GPPHeader"/>
        <w:rPr>
          <w:rFonts w:cs="Arial"/>
          <w:sz w:val="22"/>
          <w:szCs w:val="22"/>
        </w:rPr>
      </w:pPr>
      <w:r w:rsidRPr="001751C7">
        <w:rPr>
          <w:rFonts w:cs="Arial"/>
          <w:sz w:val="22"/>
          <w:szCs w:val="22"/>
          <w:lang w:val="en-US"/>
        </w:rPr>
        <w:t>Agenda Item:</w:t>
      </w:r>
      <w:r w:rsidRPr="001751C7">
        <w:rPr>
          <w:rFonts w:cs="Arial"/>
          <w:sz w:val="22"/>
          <w:szCs w:val="22"/>
          <w:lang w:val="en-US"/>
        </w:rPr>
        <w:tab/>
      </w:r>
      <w:r w:rsidR="000A4BA8">
        <w:rPr>
          <w:rFonts w:cs="Arial"/>
          <w:sz w:val="22"/>
          <w:szCs w:val="22"/>
        </w:rPr>
        <w:t>6.4.2.2</w:t>
      </w:r>
    </w:p>
    <w:p w14:paraId="00B6B2ED" w14:textId="77777777" w:rsidR="00201BEF" w:rsidRPr="007A6B98" w:rsidRDefault="00201BEF" w:rsidP="005C3812">
      <w:pPr>
        <w:pStyle w:val="3GPPHeader"/>
        <w:rPr>
          <w:rFonts w:cs="Arial"/>
          <w:sz w:val="22"/>
          <w:szCs w:val="22"/>
        </w:rPr>
      </w:pPr>
      <w:r w:rsidRPr="007A6B98">
        <w:rPr>
          <w:rFonts w:cs="Arial"/>
          <w:sz w:val="22"/>
          <w:szCs w:val="22"/>
        </w:rPr>
        <w:t>Source:</w:t>
      </w:r>
      <w:r w:rsidRPr="007A6B98">
        <w:rPr>
          <w:rFonts w:cs="Arial"/>
          <w:sz w:val="22"/>
          <w:szCs w:val="22"/>
        </w:rPr>
        <w:tab/>
        <w:t>Ericsson</w:t>
      </w:r>
    </w:p>
    <w:p w14:paraId="6990B582" w14:textId="3C3D39DB" w:rsidR="00ED7926" w:rsidRPr="007A6B98" w:rsidRDefault="00201BEF" w:rsidP="005C3812">
      <w:pPr>
        <w:pStyle w:val="3GPPHeader"/>
        <w:rPr>
          <w:rFonts w:cs="Arial"/>
          <w:sz w:val="22"/>
          <w:szCs w:val="22"/>
        </w:rPr>
      </w:pPr>
      <w:r w:rsidRPr="007A6B98">
        <w:rPr>
          <w:rFonts w:cs="Arial"/>
          <w:sz w:val="22"/>
          <w:szCs w:val="22"/>
        </w:rPr>
        <w:t>Title:</w:t>
      </w:r>
      <w:r w:rsidRPr="007A6B98">
        <w:rPr>
          <w:rFonts w:cs="Arial"/>
          <w:sz w:val="22"/>
          <w:szCs w:val="22"/>
        </w:rPr>
        <w:tab/>
      </w:r>
      <w:r w:rsidR="00EF24C2">
        <w:rPr>
          <w:rFonts w:cs="Arial"/>
          <w:sz w:val="22"/>
          <w:szCs w:val="22"/>
        </w:rPr>
        <w:t>Remaining issues on</w:t>
      </w:r>
      <w:r w:rsidR="00483F68" w:rsidRPr="00483F68">
        <w:rPr>
          <w:rFonts w:cs="Arial"/>
          <w:sz w:val="22"/>
          <w:szCs w:val="22"/>
        </w:rPr>
        <w:t xml:space="preserve"> </w:t>
      </w:r>
      <w:r w:rsidR="00C3417C">
        <w:rPr>
          <w:rFonts w:cs="Arial"/>
          <w:sz w:val="22"/>
          <w:szCs w:val="22"/>
        </w:rPr>
        <w:t>UE capability</w:t>
      </w:r>
      <w:r w:rsidR="00F05095">
        <w:rPr>
          <w:rFonts w:cs="Arial"/>
          <w:sz w:val="22"/>
          <w:szCs w:val="22"/>
        </w:rPr>
        <w:t xml:space="preserve"> for NR V2X</w:t>
      </w:r>
    </w:p>
    <w:p w14:paraId="63AC6A90" w14:textId="243BFAF2" w:rsidR="00201BEF" w:rsidRDefault="00201BEF" w:rsidP="005C3812">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2C16CE7D" w14:textId="77777777" w:rsidR="005C3812" w:rsidRPr="007A6B98" w:rsidRDefault="005C3812" w:rsidP="005C3812">
      <w:pPr>
        <w:pStyle w:val="3GPPHeader"/>
        <w:rPr>
          <w:rFonts w:cs="Arial"/>
          <w:sz w:val="22"/>
          <w:szCs w:val="22"/>
        </w:rPr>
      </w:pPr>
    </w:p>
    <w:p w14:paraId="46F6C197" w14:textId="5C283D67" w:rsidR="004D2EBF" w:rsidRDefault="00E65E6F" w:rsidP="004D2EBF">
      <w:pPr>
        <w:pStyle w:val="Heading1"/>
        <w:numPr>
          <w:ilvl w:val="0"/>
          <w:numId w:val="8"/>
        </w:numPr>
      </w:pPr>
      <w:r w:rsidRPr="00CE0424">
        <w:t>Introduction</w:t>
      </w:r>
    </w:p>
    <w:p w14:paraId="49D04284" w14:textId="16D37401" w:rsidR="00B02797" w:rsidRPr="004D2EBF" w:rsidRDefault="00E65E6F" w:rsidP="00F05095">
      <w:pPr>
        <w:rPr>
          <w:b/>
        </w:rPr>
      </w:pPr>
      <w:r w:rsidRPr="00087FC6">
        <w:t xml:space="preserve">In this </w:t>
      </w:r>
      <w:r w:rsidRPr="00F05095">
        <w:t>paper</w:t>
      </w:r>
      <w:r w:rsidRPr="00087FC6">
        <w:t xml:space="preserve">, we further discuss </w:t>
      </w:r>
      <w:r w:rsidR="004D2EBF">
        <w:t>some remaining open issues</w:t>
      </w:r>
      <w:r w:rsidRPr="00087FC6">
        <w:t xml:space="preserve"> on the capability information exchange. </w:t>
      </w:r>
    </w:p>
    <w:p w14:paraId="000624F4" w14:textId="789384D3" w:rsidR="00003486" w:rsidRPr="003E153B" w:rsidRDefault="00201BEF" w:rsidP="00003486">
      <w:pPr>
        <w:pStyle w:val="Heading1"/>
      </w:pPr>
      <w:bookmarkStart w:id="1" w:name="_Ref490149211"/>
      <w:r w:rsidRPr="007A6B98">
        <w:t>Discussion</w:t>
      </w:r>
      <w:bookmarkEnd w:id="1"/>
    </w:p>
    <w:p w14:paraId="08DB725C" w14:textId="74388BE5" w:rsidR="002752FA" w:rsidRDefault="00C3417C" w:rsidP="00C3417C">
      <w:r>
        <w:t xml:space="preserve">In the previous meetings, for SL unicast configuration many discussions touched upon the issue that the initiating UE might send a set of configurations to the peer UE but cannot be implemented by the peer UE due to limited UE capability. </w:t>
      </w:r>
      <w:r w:rsidR="003302BF">
        <w:t xml:space="preserve">In this case, a configuration failure will be triggered. To avoid this, over sidelink the initiating UE can enquire the </w:t>
      </w:r>
      <w:r w:rsidR="00F722BB">
        <w:t xml:space="preserve">UE capability of the peer UE as agreed below. </w:t>
      </w:r>
    </w:p>
    <w:tbl>
      <w:tblPr>
        <w:tblStyle w:val="TableGrid"/>
        <w:tblW w:w="0" w:type="auto"/>
        <w:tblLook w:val="04A0" w:firstRow="1" w:lastRow="0" w:firstColumn="1" w:lastColumn="0" w:noHBand="0" w:noVBand="1"/>
      </w:tblPr>
      <w:tblGrid>
        <w:gridCol w:w="9629"/>
      </w:tblGrid>
      <w:tr w:rsidR="003302BF" w14:paraId="7A461C52" w14:textId="77777777" w:rsidTr="003302BF">
        <w:tc>
          <w:tcPr>
            <w:tcW w:w="9629" w:type="dxa"/>
          </w:tcPr>
          <w:p w14:paraId="6EB96DBF" w14:textId="77777777" w:rsidR="003302BF" w:rsidRPr="00A84BA8" w:rsidRDefault="003302BF" w:rsidP="003302BF">
            <w:pPr>
              <w:rPr>
                <w:b/>
                <w:highlight w:val="green"/>
              </w:rPr>
            </w:pPr>
            <w:r w:rsidRPr="00A84BA8">
              <w:rPr>
                <w:b/>
                <w:highlight w:val="green"/>
              </w:rPr>
              <w:t xml:space="preserve">Agreements on UE capability transfer: </w:t>
            </w:r>
          </w:p>
          <w:p w14:paraId="5AB4313F" w14:textId="77777777" w:rsidR="003302BF" w:rsidRDefault="003302BF" w:rsidP="003302BF">
            <w:r>
              <w:t>1:</w:t>
            </w:r>
            <w:r>
              <w:tab/>
              <w:t>Two-way procedure is only used for capability transfer in SL unicast.</w:t>
            </w:r>
          </w:p>
          <w:p w14:paraId="6CD9CACD" w14:textId="12A16A2E" w:rsidR="003302BF" w:rsidRDefault="003302BF" w:rsidP="00C3417C">
            <w:r>
              <w:t>2:</w:t>
            </w:r>
            <w:r>
              <w:tab/>
              <w:t>A UE can send Capability Enquiry message to request peer UE's capability along with its own capability information for SL unicast. When to include its own capabilities is up to UE implementation.</w:t>
            </w:r>
          </w:p>
        </w:tc>
      </w:tr>
    </w:tbl>
    <w:p w14:paraId="3B560604" w14:textId="134F9EC7" w:rsidR="003302BF" w:rsidRDefault="003302BF" w:rsidP="00C3417C"/>
    <w:p w14:paraId="6E1B6B10" w14:textId="20F06659" w:rsidR="00F722BB" w:rsidRDefault="00F722BB" w:rsidP="00C3417C">
      <w:r>
        <w:t xml:space="preserve">However, in the scenario that the unicast SLRB is configured by </w:t>
      </w:r>
      <w:proofErr w:type="spellStart"/>
      <w:r>
        <w:t>gNB</w:t>
      </w:r>
      <w:proofErr w:type="spellEnd"/>
      <w:r>
        <w:t xml:space="preserve"> via dedicated RRC signalling, there is no procedure defined now to support </w:t>
      </w:r>
      <w:proofErr w:type="spellStart"/>
      <w:r>
        <w:t>gNB</w:t>
      </w:r>
      <w:proofErr w:type="spellEnd"/>
      <w:r>
        <w:t xml:space="preserve"> configures the unicast SLRB taking into account the capability of the peer UE. </w:t>
      </w:r>
    </w:p>
    <w:p w14:paraId="25A5FE41" w14:textId="42E7C8C3" w:rsidR="00F722BB" w:rsidRDefault="00F722BB" w:rsidP="00F05095">
      <w:pPr>
        <w:pStyle w:val="Observation"/>
        <w:ind w:left="1560" w:hanging="1560"/>
      </w:pPr>
      <w:bookmarkStart w:id="2" w:name="_Toc37175956"/>
      <w:r>
        <w:t xml:space="preserve">When </w:t>
      </w:r>
      <w:proofErr w:type="spellStart"/>
      <w:r>
        <w:t>gNB</w:t>
      </w:r>
      <w:proofErr w:type="spellEnd"/>
      <w:r>
        <w:t xml:space="preserve"> configures the unicast SLRB, there is no procedure supporting </w:t>
      </w:r>
      <w:proofErr w:type="spellStart"/>
      <w:r>
        <w:t>gNB</w:t>
      </w:r>
      <w:proofErr w:type="spellEnd"/>
      <w:r>
        <w:t xml:space="preserve"> to configure the SLRB taking into account the capability of the peer UE.</w:t>
      </w:r>
      <w:bookmarkEnd w:id="2"/>
      <w:r>
        <w:t xml:space="preserve"> </w:t>
      </w:r>
    </w:p>
    <w:p w14:paraId="5B7F32C6" w14:textId="39CBB431" w:rsidR="00F722BB" w:rsidRDefault="00F722BB" w:rsidP="00F722BB">
      <w:pPr>
        <w:pStyle w:val="Proposal"/>
        <w:numPr>
          <w:ilvl w:val="0"/>
          <w:numId w:val="0"/>
        </w:numPr>
        <w:ind w:left="1304" w:hanging="1304"/>
      </w:pPr>
    </w:p>
    <w:p w14:paraId="56CC829B" w14:textId="32112839" w:rsidR="00F722BB" w:rsidRDefault="00E40E35" w:rsidP="00E40E35">
      <w:r>
        <w:t xml:space="preserve">To achieve this, one way is to let the initiating UE reports the peer UE’s capability to its serving </w:t>
      </w:r>
      <w:proofErr w:type="spellStart"/>
      <w:r>
        <w:t>gNB</w:t>
      </w:r>
      <w:proofErr w:type="spellEnd"/>
      <w:r>
        <w:t>. On the other hand, we see some potential issues</w:t>
      </w:r>
      <w:r w:rsidR="00912219">
        <w:t xml:space="preserve"> in terms of signalling overhead</w:t>
      </w:r>
      <w:r>
        <w:t>:</w:t>
      </w:r>
    </w:p>
    <w:p w14:paraId="75A5CF80" w14:textId="510DC791" w:rsidR="00E40E35" w:rsidRDefault="00E40E35" w:rsidP="00E40E35">
      <w:pPr>
        <w:pStyle w:val="ListParagraph"/>
        <w:numPr>
          <w:ilvl w:val="0"/>
          <w:numId w:val="12"/>
        </w:numPr>
      </w:pPr>
      <w:r>
        <w:t>Issue #1: Since the initiating UE does not know whether multiple logical PC5 connections</w:t>
      </w:r>
      <w:r w:rsidR="00341A6A">
        <w:t xml:space="preserve"> or destination IDs</w:t>
      </w:r>
      <w:r>
        <w:t xml:space="preserve"> belong to the same peer UE, therefore it could happen that the initiating UE reports same UE capability contents multiple times for different PC5 connections or </w:t>
      </w:r>
      <w:r w:rsidR="00341A6A">
        <w:t>destination</w:t>
      </w:r>
      <w:r>
        <w:t xml:space="preserve"> IDs. </w:t>
      </w:r>
    </w:p>
    <w:p w14:paraId="18ADE0A4" w14:textId="77777777" w:rsidR="00F05095" w:rsidRDefault="00F05095" w:rsidP="00F05095">
      <w:pPr>
        <w:pStyle w:val="ListParagraph"/>
      </w:pPr>
    </w:p>
    <w:p w14:paraId="287EB0EC" w14:textId="1EC2B0C2" w:rsidR="00E40E35" w:rsidRPr="00912219" w:rsidRDefault="00E40E35" w:rsidP="00E40E35">
      <w:pPr>
        <w:pStyle w:val="ListParagraph"/>
        <w:numPr>
          <w:ilvl w:val="0"/>
          <w:numId w:val="12"/>
        </w:numPr>
      </w:pPr>
      <w:r>
        <w:t xml:space="preserve">Issue #2: It is not clear so far whether </w:t>
      </w:r>
      <w:proofErr w:type="spellStart"/>
      <w:r>
        <w:t>gNB</w:t>
      </w:r>
      <w:proofErr w:type="spellEnd"/>
      <w:r>
        <w:t xml:space="preserve"> has to understand</w:t>
      </w:r>
      <w:r w:rsidR="00912219">
        <w:t xml:space="preserve"> all the UE capabilities that have been sent from the peer UE per sidelink, or it is enough for gNB to know part of them.</w:t>
      </w:r>
    </w:p>
    <w:p w14:paraId="6709B6E9" w14:textId="7ABB0672" w:rsidR="00912219" w:rsidRDefault="00912219" w:rsidP="00912219"/>
    <w:p w14:paraId="73F342A4" w14:textId="51800DDC" w:rsidR="00912219" w:rsidRPr="00A24CE1" w:rsidRDefault="00912219" w:rsidP="00912219">
      <w:r>
        <w:t>To resolve issue#1, instead of reporting peer UE’s capability per destination ID, the initiating UE can report a list of peer UEs’ capabilities seperately and inidates the associated capability index for each destnation ID.</w:t>
      </w:r>
      <w:r w:rsidR="00A24CE1">
        <w:t xml:space="preserve"> Such peer UE capability list can be reported in </w:t>
      </w:r>
      <w:r w:rsidR="00A24CE1" w:rsidRPr="00A24CE1">
        <w:rPr>
          <w:i/>
          <w:iCs/>
        </w:rPr>
        <w:t>SidelinkUEInformationNR</w:t>
      </w:r>
      <w:r w:rsidR="00A24CE1">
        <w:t>.</w:t>
      </w:r>
    </w:p>
    <w:p w14:paraId="27A55044" w14:textId="618FBAAF" w:rsidR="00912219" w:rsidRPr="00A24CE1" w:rsidRDefault="00912219" w:rsidP="00912219">
      <w:r>
        <w:t>For issue#2, we can revisit once the UE cap</w:t>
      </w:r>
      <w:r w:rsidR="00F05095">
        <w:t>a</w:t>
      </w:r>
      <w:r>
        <w:t xml:space="preserve">bility list is clear, but for the time being we can assume the initiating UE reports </w:t>
      </w:r>
      <w:r w:rsidR="00A24CE1">
        <w:t xml:space="preserve">all information elements received in </w:t>
      </w:r>
      <w:r w:rsidR="00A24CE1" w:rsidRPr="00A24CE1">
        <w:rPr>
          <w:i/>
          <w:iCs/>
        </w:rPr>
        <w:t>UECapabilityInformationSidelink</w:t>
      </w:r>
      <w:r w:rsidR="00A24CE1">
        <w:rPr>
          <w:i/>
          <w:iCs/>
        </w:rPr>
        <w:t xml:space="preserve"> </w:t>
      </w:r>
      <w:r w:rsidR="00A24CE1">
        <w:t xml:space="preserve">message from peer UE over sidelink as shown below. </w:t>
      </w:r>
    </w:p>
    <w:p w14:paraId="14D6A0EB" w14:textId="77777777" w:rsidR="00A24CE1" w:rsidRDefault="00A24CE1" w:rsidP="00A24CE1">
      <w:pPr>
        <w:keepNext/>
        <w:keepLines/>
        <w:spacing w:before="60"/>
        <w:jc w:val="center"/>
        <w:rPr>
          <w:b/>
        </w:rPr>
      </w:pPr>
      <w:proofErr w:type="spellStart"/>
      <w:r>
        <w:rPr>
          <w:b/>
          <w:i/>
        </w:rPr>
        <w:lastRenderedPageBreak/>
        <w:t>UECapabilityInformation</w:t>
      </w:r>
      <w:r>
        <w:rPr>
          <w:b/>
          <w:i/>
          <w:noProof/>
        </w:rPr>
        <w:t>Sidelink</w:t>
      </w:r>
      <w:proofErr w:type="spellEnd"/>
      <w:r>
        <w:rPr>
          <w:b/>
        </w:rPr>
        <w:t xml:space="preserve"> information element</w:t>
      </w:r>
    </w:p>
    <w:p w14:paraId="08E80289"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ASN1START</w:t>
      </w:r>
    </w:p>
    <w:p w14:paraId="47B5E6DC"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TAG-UECAPABILITYINFORMATIONSIDELINK-START</w:t>
      </w:r>
    </w:p>
    <w:p w14:paraId="28665C64"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33354"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UECapabilityInformationSidelink ::=         </w:t>
      </w:r>
      <w:r>
        <w:rPr>
          <w:rFonts w:ascii="Courier New" w:hAnsi="Courier New"/>
          <w:noProof/>
          <w:color w:val="993366"/>
          <w:sz w:val="16"/>
          <w:lang w:eastAsia="en-GB"/>
        </w:rPr>
        <w:t>SEQUENCE</w:t>
      </w:r>
      <w:r>
        <w:rPr>
          <w:rFonts w:ascii="Courier New" w:hAnsi="Courier New"/>
          <w:noProof/>
          <w:sz w:val="16"/>
          <w:lang w:eastAsia="en-GB"/>
        </w:rPr>
        <w:t xml:space="preserve"> {</w:t>
      </w:r>
    </w:p>
    <w:p w14:paraId="020516E7"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rrc-TransactionIdentifier-r16                   RRC-TransactionIdentifier,</w:t>
      </w:r>
    </w:p>
    <w:p w14:paraId="184C5949"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14:paraId="440A164B"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ueCapabilityInformationSidelink-r16             UECapabilityInformationSidelink-IEs-r16,</w:t>
      </w:r>
    </w:p>
    <w:p w14:paraId="520624BF"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14:paraId="50BC83A2"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B12CC4B"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4B344F68"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D733DB"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UECapabilityInformationSidelink-IEs-r16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4AED21B0"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FFS on the details</w:t>
      </w:r>
    </w:p>
    <w:p w14:paraId="06324192"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lateNonCriticalExtension                    OCTET STRING                                                            </w:t>
      </w:r>
      <w:r>
        <w:rPr>
          <w:rFonts w:ascii="Courier New" w:hAnsi="Courier New"/>
          <w:noProof/>
          <w:color w:val="993366"/>
          <w:sz w:val="16"/>
          <w:lang w:eastAsia="en-GB"/>
        </w:rPr>
        <w:t>OPTIONAL</w:t>
      </w:r>
      <w:r>
        <w:rPr>
          <w:rFonts w:ascii="Courier New" w:hAnsi="Courier New"/>
          <w:noProof/>
          <w:sz w:val="16"/>
          <w:lang w:eastAsia="en-GB"/>
        </w:rPr>
        <w:t>,</w:t>
      </w:r>
    </w:p>
    <w:p w14:paraId="510A2F57"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OPTIONAL</w:t>
      </w:r>
    </w:p>
    <w:p w14:paraId="0EC70A61"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4E5E2B0"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363D4D"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TAG-UECAPABILITYINFORMATIONSIDELINK-STOP</w:t>
      </w:r>
    </w:p>
    <w:p w14:paraId="75DA71C2" w14:textId="77777777" w:rsidR="00A24CE1" w:rsidRDefault="00A24CE1" w:rsidP="00A24C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ASN1STOP</w:t>
      </w:r>
    </w:p>
    <w:p w14:paraId="3530761F" w14:textId="580895D2" w:rsidR="00912219" w:rsidRDefault="00912219" w:rsidP="00912219">
      <w:pPr>
        <w:rPr>
          <w:rFonts w:ascii="Times New Roman" w:hAnsi="Times New Roman"/>
          <w:lang w:eastAsia="ja-JP"/>
        </w:rPr>
      </w:pPr>
    </w:p>
    <w:p w14:paraId="5C686F75" w14:textId="07D54AF4" w:rsidR="00A24CE1" w:rsidRDefault="00F05095" w:rsidP="00A24CE1">
      <w:pPr>
        <w:pStyle w:val="Proposal"/>
      </w:pPr>
      <w:bookmarkStart w:id="3" w:name="_Toc37175927"/>
      <w:r>
        <w:t>For</w:t>
      </w:r>
      <w:r w:rsidR="00A24CE1">
        <w:t xml:space="preserve"> SL unicast</w:t>
      </w:r>
      <w:r>
        <w:t>, the</w:t>
      </w:r>
      <w:r w:rsidR="00A24CE1">
        <w:t xml:space="preserve"> UE</w:t>
      </w:r>
      <w:r>
        <w:t xml:space="preserve"> is allowed to</w:t>
      </w:r>
      <w:r w:rsidR="00A24CE1">
        <w:t xml:space="preserve"> report its peer UE’s capability to its serving </w:t>
      </w:r>
      <w:proofErr w:type="spellStart"/>
      <w:r w:rsidR="00A24CE1">
        <w:t>gNB</w:t>
      </w:r>
      <w:proofErr w:type="spellEnd"/>
      <w:r w:rsidR="00A24CE1">
        <w:t>.</w:t>
      </w:r>
      <w:r>
        <w:t xml:space="preserve"> It is up to the UE whether to report to its serving </w:t>
      </w:r>
      <w:proofErr w:type="spellStart"/>
      <w:r>
        <w:t>gNB</w:t>
      </w:r>
      <w:proofErr w:type="spellEnd"/>
      <w:r>
        <w:t xml:space="preserve"> the peer UE’s capability or not.</w:t>
      </w:r>
      <w:bookmarkEnd w:id="3"/>
      <w:r w:rsidR="00A24CE1">
        <w:t xml:space="preserve"> </w:t>
      </w:r>
    </w:p>
    <w:p w14:paraId="7F4652AB" w14:textId="7C0EB155" w:rsidR="00A24CE1" w:rsidRDefault="00A24CE1" w:rsidP="00A24CE1">
      <w:pPr>
        <w:pStyle w:val="Proposal"/>
      </w:pPr>
      <w:bookmarkStart w:id="4" w:name="_Toc37175928"/>
      <w:r>
        <w:t>To avoid duplicated UE capab</w:t>
      </w:r>
      <w:r w:rsidR="00F05095">
        <w:t>i</w:t>
      </w:r>
      <w:r>
        <w:t xml:space="preserve">lities reporting, </w:t>
      </w:r>
      <w:r w:rsidR="00F05095">
        <w:t xml:space="preserve">the </w:t>
      </w:r>
      <w:r>
        <w:t xml:space="preserve">UE reports a list of unique UE capabilities </w:t>
      </w:r>
      <w:r w:rsidR="00B328C8">
        <w:t xml:space="preserve">belonging to different peer UEs </w:t>
      </w:r>
      <w:r>
        <w:t xml:space="preserve">and </w:t>
      </w:r>
      <w:r w:rsidR="00B328C8">
        <w:t>links them to each destination ID.</w:t>
      </w:r>
      <w:bookmarkEnd w:id="4"/>
      <w:r w:rsidR="00B328C8">
        <w:t xml:space="preserve"> </w:t>
      </w:r>
    </w:p>
    <w:p w14:paraId="4BA6887E" w14:textId="5D13C4C4" w:rsidR="00B328C8" w:rsidRPr="00912219" w:rsidRDefault="00F05095" w:rsidP="00A24CE1">
      <w:pPr>
        <w:pStyle w:val="Proposal"/>
      </w:pPr>
      <w:bookmarkStart w:id="5" w:name="_Toc37175929"/>
      <w:r>
        <w:t>The</w:t>
      </w:r>
      <w:r w:rsidR="00B328C8">
        <w:t xml:space="preserve"> </w:t>
      </w:r>
      <w:r w:rsidR="00B328C8" w:rsidRPr="00B328C8">
        <w:t>UE</w:t>
      </w:r>
      <w:r>
        <w:t xml:space="preserve"> shall</w:t>
      </w:r>
      <w:r w:rsidR="00B328C8" w:rsidRPr="00B328C8">
        <w:t xml:space="preserve"> report </w:t>
      </w:r>
      <w:r w:rsidR="00B328C8">
        <w:t xml:space="preserve">to its </w:t>
      </w:r>
      <w:proofErr w:type="spellStart"/>
      <w:r w:rsidR="00B328C8">
        <w:t>gNB</w:t>
      </w:r>
      <w:proofErr w:type="spellEnd"/>
      <w:r w:rsidR="00B328C8">
        <w:t xml:space="preserve"> </w:t>
      </w:r>
      <w:r w:rsidR="00B328C8" w:rsidRPr="00B328C8">
        <w:t xml:space="preserve">all information elements received in </w:t>
      </w:r>
      <w:r w:rsidR="00B328C8" w:rsidRPr="00B328C8">
        <w:rPr>
          <w:i/>
          <w:iCs/>
        </w:rPr>
        <w:t>UECapabilityInformationSidelink</w:t>
      </w:r>
      <w:r w:rsidR="00B328C8" w:rsidRPr="00B328C8">
        <w:t xml:space="preserve"> message from peer UE over sidelink</w:t>
      </w:r>
      <w:r w:rsidR="00B328C8">
        <w:t>.</w:t>
      </w:r>
      <w:bookmarkEnd w:id="5"/>
    </w:p>
    <w:p w14:paraId="3D5F8244" w14:textId="77777777" w:rsidR="00F722BB" w:rsidRPr="00087FC6" w:rsidRDefault="00F722BB" w:rsidP="00C3417C"/>
    <w:p w14:paraId="7E0CA1CC" w14:textId="77777777" w:rsidR="00201BEF" w:rsidRPr="007A6B98" w:rsidRDefault="00201BEF" w:rsidP="00201BEF">
      <w:pPr>
        <w:pStyle w:val="Heading1"/>
        <w:overflowPunct/>
        <w:autoSpaceDE/>
        <w:autoSpaceDN/>
        <w:adjustRightInd/>
        <w:textAlignment w:val="auto"/>
      </w:pPr>
      <w:bookmarkStart w:id="6" w:name="_Ref528871418"/>
      <w:r w:rsidRPr="007A6B98">
        <w:t>Conclusions</w:t>
      </w:r>
      <w:bookmarkEnd w:id="6"/>
    </w:p>
    <w:p w14:paraId="45A7FC5B" w14:textId="2353AD65" w:rsidR="00201BEF" w:rsidRPr="00087FC6" w:rsidRDefault="00201BEF" w:rsidP="00201BEF">
      <w:pPr>
        <w:rPr>
          <w:rFonts w:cs="Arial"/>
        </w:rPr>
      </w:pPr>
      <w:r w:rsidRPr="00087FC6">
        <w:rPr>
          <w:rFonts w:cs="Arial"/>
        </w:rPr>
        <w:t xml:space="preserve">In section </w:t>
      </w:r>
      <w:r w:rsidRPr="00087FC6">
        <w:rPr>
          <w:rFonts w:cs="Arial"/>
        </w:rPr>
        <w:fldChar w:fldCharType="begin"/>
      </w:r>
      <w:r w:rsidRPr="00087FC6">
        <w:rPr>
          <w:rFonts w:cs="Arial"/>
        </w:rPr>
        <w:instrText xml:space="preserve"> REF _Ref490149211 \r \h </w:instrText>
      </w:r>
      <w:r w:rsidR="007A6B98"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made the following observations:</w:t>
      </w:r>
    </w:p>
    <w:p w14:paraId="11975766" w14:textId="130E76E7" w:rsidR="00F05095" w:rsidRPr="00F05095" w:rsidRDefault="002D37C0" w:rsidP="00F05095">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en-FI" w:eastAsia="en-GB"/>
        </w:rPr>
      </w:pPr>
      <w:r w:rsidRPr="00B328C8">
        <w:rPr>
          <w:rFonts w:cs="Arial"/>
          <w:b/>
        </w:rPr>
        <w:fldChar w:fldCharType="begin"/>
      </w:r>
      <w:r w:rsidRPr="00B328C8">
        <w:rPr>
          <w:rFonts w:cs="Arial"/>
          <w:b/>
        </w:rPr>
        <w:instrText xml:space="preserve"> TOC \n \h \z \t "Observation" \c </w:instrText>
      </w:r>
      <w:r w:rsidRPr="00B328C8">
        <w:rPr>
          <w:rFonts w:cs="Arial"/>
          <w:b/>
        </w:rPr>
        <w:fldChar w:fldCharType="separate"/>
      </w:r>
      <w:hyperlink w:anchor="_Toc37175956" w:history="1">
        <w:r w:rsidR="00F05095" w:rsidRPr="00F05095">
          <w:rPr>
            <w:rStyle w:val="Hyperlink"/>
            <w:b/>
            <w:bCs/>
            <w:noProof/>
          </w:rPr>
          <w:t>Observation 1</w:t>
        </w:r>
        <w:r w:rsidR="00F05095" w:rsidRPr="00F05095">
          <w:rPr>
            <w:rFonts w:asciiTheme="minorHAnsi" w:eastAsiaTheme="minorEastAsia" w:hAnsiTheme="minorHAnsi" w:cstheme="minorBidi"/>
            <w:b/>
            <w:bCs/>
            <w:noProof/>
            <w:sz w:val="24"/>
            <w:szCs w:val="24"/>
            <w:lang w:val="en-FI" w:eastAsia="en-GB"/>
          </w:rPr>
          <w:tab/>
        </w:r>
        <w:r w:rsidR="00F05095" w:rsidRPr="00F05095">
          <w:rPr>
            <w:rStyle w:val="Hyperlink"/>
            <w:b/>
            <w:bCs/>
            <w:noProof/>
          </w:rPr>
          <w:t>When gNB configures the unicast SLRB, there is no procedure supporting gNB to configure the SLRB taking into account the capability of the peer UE.</w:t>
        </w:r>
      </w:hyperlink>
    </w:p>
    <w:p w14:paraId="5C2FBF93" w14:textId="7600908F" w:rsidR="002D37C0" w:rsidRPr="00087FC6" w:rsidRDefault="002D37C0" w:rsidP="00201BEF">
      <w:pPr>
        <w:rPr>
          <w:rFonts w:cs="Arial"/>
        </w:rPr>
      </w:pPr>
      <w:r w:rsidRPr="00B328C8">
        <w:rPr>
          <w:rFonts w:cs="Arial"/>
          <w:b/>
        </w:rPr>
        <w:fldChar w:fldCharType="end"/>
      </w:r>
    </w:p>
    <w:p w14:paraId="777D98A4" w14:textId="165C9873" w:rsidR="00201BEF" w:rsidRPr="00087FC6" w:rsidRDefault="00201BEF" w:rsidP="00201BEF">
      <w:pPr>
        <w:rPr>
          <w:rFonts w:cs="Arial"/>
        </w:rPr>
      </w:pPr>
      <w:r w:rsidRPr="00087FC6">
        <w:rPr>
          <w:rFonts w:cs="Arial"/>
        </w:rPr>
        <w:t xml:space="preserve">Based on the discussion in section </w:t>
      </w:r>
      <w:r w:rsidRPr="00087FC6">
        <w:rPr>
          <w:rFonts w:cs="Arial"/>
        </w:rPr>
        <w:fldChar w:fldCharType="begin"/>
      </w:r>
      <w:r w:rsidRPr="00087FC6">
        <w:rPr>
          <w:rFonts w:cs="Arial"/>
        </w:rPr>
        <w:instrText xml:space="preserve"> REF _Ref490149211 \r \h </w:instrText>
      </w:r>
      <w:r w:rsidR="00FA1F66"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propose the following:</w:t>
      </w:r>
    </w:p>
    <w:p w14:paraId="4A5838B0" w14:textId="77777777" w:rsidR="00F05095" w:rsidRDefault="00F05095" w:rsidP="00F05095">
      <w:pPr>
        <w:pStyle w:val="Proposal"/>
        <w:numPr>
          <w:ilvl w:val="0"/>
          <w:numId w:val="13"/>
        </w:numPr>
      </w:pPr>
      <w:r>
        <w:t xml:space="preserve">For SL unicast, the UE is allowed to report its peer UE’s capability to its serving </w:t>
      </w:r>
      <w:proofErr w:type="spellStart"/>
      <w:r>
        <w:t>gNB</w:t>
      </w:r>
      <w:proofErr w:type="spellEnd"/>
      <w:r>
        <w:t xml:space="preserve">. It is up to the UE whether to report to its serving </w:t>
      </w:r>
      <w:proofErr w:type="spellStart"/>
      <w:r>
        <w:t>gNB</w:t>
      </w:r>
      <w:proofErr w:type="spellEnd"/>
      <w:r>
        <w:t xml:space="preserve"> the peer UE’s capability or not. </w:t>
      </w:r>
    </w:p>
    <w:p w14:paraId="35839A52" w14:textId="77777777" w:rsidR="00F05095" w:rsidRDefault="00F05095" w:rsidP="00F05095">
      <w:pPr>
        <w:pStyle w:val="Proposal"/>
      </w:pPr>
      <w:r>
        <w:t xml:space="preserve">To avoid duplicated UE capabilities reporting, the UE reports a list of unique UE capabilities belonging to different peer UEs and links them to each destination ID. </w:t>
      </w:r>
    </w:p>
    <w:p w14:paraId="14C4023A" w14:textId="77777777" w:rsidR="00F05095" w:rsidRPr="00912219" w:rsidRDefault="00F05095" w:rsidP="00F05095">
      <w:pPr>
        <w:pStyle w:val="Proposal"/>
      </w:pPr>
      <w:r>
        <w:t xml:space="preserve">The </w:t>
      </w:r>
      <w:r w:rsidRPr="00B328C8">
        <w:t>UE</w:t>
      </w:r>
      <w:r>
        <w:t xml:space="preserve"> shall</w:t>
      </w:r>
      <w:r w:rsidRPr="00B328C8">
        <w:t xml:space="preserve"> report </w:t>
      </w:r>
      <w:r>
        <w:t xml:space="preserve">to its </w:t>
      </w:r>
      <w:proofErr w:type="spellStart"/>
      <w:r>
        <w:t>gNB</w:t>
      </w:r>
      <w:proofErr w:type="spellEnd"/>
      <w:r>
        <w:t xml:space="preserve"> </w:t>
      </w:r>
      <w:r w:rsidRPr="00B328C8">
        <w:t xml:space="preserve">all information elements received in </w:t>
      </w:r>
      <w:proofErr w:type="spellStart"/>
      <w:r w:rsidRPr="00B328C8">
        <w:rPr>
          <w:i/>
          <w:iCs/>
        </w:rPr>
        <w:t>UECapabilityInformationSidelink</w:t>
      </w:r>
      <w:proofErr w:type="spellEnd"/>
      <w:r w:rsidRPr="00B328C8">
        <w:t xml:space="preserve"> message from peer UE over sidelink</w:t>
      </w:r>
      <w:r>
        <w:t>.</w:t>
      </w:r>
    </w:p>
    <w:p w14:paraId="576C20EA" w14:textId="0D8EDD95" w:rsidR="00F05095" w:rsidRPr="00F05095" w:rsidRDefault="002D37C0" w:rsidP="00F05095">
      <w:pPr>
        <w:pStyle w:val="TableofFigures"/>
        <w:tabs>
          <w:tab w:val="left" w:pos="1701"/>
          <w:tab w:val="right" w:leader="dot" w:pos="9629"/>
        </w:tabs>
        <w:rPr>
          <w:rFonts w:asciiTheme="minorHAnsi" w:eastAsiaTheme="minorEastAsia" w:hAnsiTheme="minorHAnsi" w:cstheme="minorBidi"/>
          <w:b/>
          <w:bCs/>
          <w:noProof/>
          <w:sz w:val="24"/>
          <w:szCs w:val="24"/>
          <w:lang w:val="en-FI" w:eastAsia="en-GB"/>
        </w:rPr>
      </w:pPr>
      <w:r w:rsidRPr="00087FC6">
        <w:rPr>
          <w:rStyle w:val="Hyperlink"/>
          <w:b/>
          <w:noProof/>
        </w:rPr>
        <w:fldChar w:fldCharType="begin"/>
      </w:r>
      <w:r w:rsidRPr="00087FC6">
        <w:rPr>
          <w:rStyle w:val="Hyperlink"/>
          <w:b/>
          <w:noProof/>
        </w:rPr>
        <w:instrText xml:space="preserve"> TOC \n \h \z \t "Proposal" \c </w:instrText>
      </w:r>
      <w:r w:rsidRPr="00087FC6">
        <w:rPr>
          <w:rStyle w:val="Hyperlink"/>
          <w:b/>
          <w:noProof/>
        </w:rPr>
        <w:fldChar w:fldCharType="separate"/>
      </w:r>
    </w:p>
    <w:p w14:paraId="79512C45" w14:textId="6A37A239" w:rsidR="002D37C0" w:rsidRPr="00087FC6" w:rsidRDefault="002D37C0" w:rsidP="00201BEF">
      <w:pPr>
        <w:rPr>
          <w:rFonts w:cs="Arial"/>
        </w:rPr>
      </w:pPr>
      <w:r w:rsidRPr="00087FC6">
        <w:rPr>
          <w:rStyle w:val="Hyperlink"/>
          <w:b/>
          <w:noProof/>
        </w:rPr>
        <w:fldChar w:fldCharType="end"/>
      </w:r>
    </w:p>
    <w:p w14:paraId="4D2BC573" w14:textId="77777777" w:rsidR="00201BEF" w:rsidRPr="007B3713" w:rsidRDefault="00201BEF" w:rsidP="00201BEF">
      <w:pPr>
        <w:pStyle w:val="Heading1"/>
      </w:pPr>
      <w:r w:rsidRPr="007B3713">
        <w:t>References</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AC06" w14:textId="77777777" w:rsidR="007D5BDD" w:rsidRDefault="007D5BDD">
      <w:pPr>
        <w:spacing w:after="0"/>
      </w:pPr>
      <w:r>
        <w:separator/>
      </w:r>
    </w:p>
  </w:endnote>
  <w:endnote w:type="continuationSeparator" w:id="0">
    <w:p w14:paraId="02CC9DCF" w14:textId="77777777" w:rsidR="007D5BDD" w:rsidRDefault="007D5BDD">
      <w:pPr>
        <w:spacing w:after="0"/>
      </w:pPr>
      <w:r>
        <w:continuationSeparator/>
      </w:r>
    </w:p>
  </w:endnote>
  <w:endnote w:type="continuationNotice" w:id="1">
    <w:p w14:paraId="5B031160" w14:textId="77777777" w:rsidR="007D5BDD" w:rsidRDefault="007D5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F2C70" w14:textId="77777777" w:rsidR="007D5BDD" w:rsidRDefault="007D5BDD">
      <w:pPr>
        <w:spacing w:after="0"/>
      </w:pPr>
      <w:r>
        <w:separator/>
      </w:r>
    </w:p>
  </w:footnote>
  <w:footnote w:type="continuationSeparator" w:id="0">
    <w:p w14:paraId="0ADCE914" w14:textId="77777777" w:rsidR="007D5BDD" w:rsidRDefault="007D5BDD">
      <w:pPr>
        <w:spacing w:after="0"/>
      </w:pPr>
      <w:r>
        <w:continuationSeparator/>
      </w:r>
    </w:p>
  </w:footnote>
  <w:footnote w:type="continuationNotice" w:id="1">
    <w:p w14:paraId="3A67C9B4" w14:textId="77777777" w:rsidR="007D5BDD" w:rsidRDefault="007D5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5D0FF5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EA55425"/>
    <w:multiLevelType w:val="hybridMultilevel"/>
    <w:tmpl w:val="B9127F64"/>
    <w:lvl w:ilvl="0" w:tplc="1264D592">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95B98"/>
    <w:multiLevelType w:val="hybridMultilevel"/>
    <w:tmpl w:val="4C4A2DDC"/>
    <w:lvl w:ilvl="0" w:tplc="DC9E4760">
      <w:start w:val="1"/>
      <w:numFmt w:val="bullet"/>
      <w:lvlText w:val="—"/>
      <w:lvlJc w:val="left"/>
      <w:pPr>
        <w:tabs>
          <w:tab w:val="num" w:pos="720"/>
        </w:tabs>
        <w:ind w:left="720" w:hanging="360"/>
      </w:pPr>
      <w:rPr>
        <w:rFonts w:ascii="Ericsson Hilda Light" w:hAnsi="Ericsson Hilda Light" w:hint="default"/>
      </w:rPr>
    </w:lvl>
    <w:lvl w:ilvl="1" w:tplc="A04E7FF0">
      <w:start w:val="31317"/>
      <w:numFmt w:val="bullet"/>
      <w:lvlText w:val="—"/>
      <w:lvlJc w:val="left"/>
      <w:pPr>
        <w:tabs>
          <w:tab w:val="num" w:pos="1440"/>
        </w:tabs>
        <w:ind w:left="1440" w:hanging="360"/>
      </w:pPr>
      <w:rPr>
        <w:rFonts w:ascii="Ericsson Hilda Light" w:hAnsi="Ericsson Hilda Light" w:hint="default"/>
      </w:rPr>
    </w:lvl>
    <w:lvl w:ilvl="2" w:tplc="AFB4087A" w:tentative="1">
      <w:start w:val="1"/>
      <w:numFmt w:val="bullet"/>
      <w:lvlText w:val="—"/>
      <w:lvlJc w:val="left"/>
      <w:pPr>
        <w:tabs>
          <w:tab w:val="num" w:pos="2160"/>
        </w:tabs>
        <w:ind w:left="2160" w:hanging="360"/>
      </w:pPr>
      <w:rPr>
        <w:rFonts w:ascii="Ericsson Hilda Light" w:hAnsi="Ericsson Hilda Light" w:hint="default"/>
      </w:rPr>
    </w:lvl>
    <w:lvl w:ilvl="3" w:tplc="9CB665A0" w:tentative="1">
      <w:start w:val="1"/>
      <w:numFmt w:val="bullet"/>
      <w:lvlText w:val="—"/>
      <w:lvlJc w:val="left"/>
      <w:pPr>
        <w:tabs>
          <w:tab w:val="num" w:pos="2880"/>
        </w:tabs>
        <w:ind w:left="2880" w:hanging="360"/>
      </w:pPr>
      <w:rPr>
        <w:rFonts w:ascii="Ericsson Hilda Light" w:hAnsi="Ericsson Hilda Light" w:hint="default"/>
      </w:rPr>
    </w:lvl>
    <w:lvl w:ilvl="4" w:tplc="4430505A" w:tentative="1">
      <w:start w:val="1"/>
      <w:numFmt w:val="bullet"/>
      <w:lvlText w:val="—"/>
      <w:lvlJc w:val="left"/>
      <w:pPr>
        <w:tabs>
          <w:tab w:val="num" w:pos="3600"/>
        </w:tabs>
        <w:ind w:left="3600" w:hanging="360"/>
      </w:pPr>
      <w:rPr>
        <w:rFonts w:ascii="Ericsson Hilda Light" w:hAnsi="Ericsson Hilda Light" w:hint="default"/>
      </w:rPr>
    </w:lvl>
    <w:lvl w:ilvl="5" w:tplc="0EE83A60" w:tentative="1">
      <w:start w:val="1"/>
      <w:numFmt w:val="bullet"/>
      <w:lvlText w:val="—"/>
      <w:lvlJc w:val="left"/>
      <w:pPr>
        <w:tabs>
          <w:tab w:val="num" w:pos="4320"/>
        </w:tabs>
        <w:ind w:left="4320" w:hanging="360"/>
      </w:pPr>
      <w:rPr>
        <w:rFonts w:ascii="Ericsson Hilda Light" w:hAnsi="Ericsson Hilda Light" w:hint="default"/>
      </w:rPr>
    </w:lvl>
    <w:lvl w:ilvl="6" w:tplc="D30058D0" w:tentative="1">
      <w:start w:val="1"/>
      <w:numFmt w:val="bullet"/>
      <w:lvlText w:val="—"/>
      <w:lvlJc w:val="left"/>
      <w:pPr>
        <w:tabs>
          <w:tab w:val="num" w:pos="5040"/>
        </w:tabs>
        <w:ind w:left="5040" w:hanging="360"/>
      </w:pPr>
      <w:rPr>
        <w:rFonts w:ascii="Ericsson Hilda Light" w:hAnsi="Ericsson Hilda Light" w:hint="default"/>
      </w:rPr>
    </w:lvl>
    <w:lvl w:ilvl="7" w:tplc="977CEFE4" w:tentative="1">
      <w:start w:val="1"/>
      <w:numFmt w:val="bullet"/>
      <w:lvlText w:val="—"/>
      <w:lvlJc w:val="left"/>
      <w:pPr>
        <w:tabs>
          <w:tab w:val="num" w:pos="5760"/>
        </w:tabs>
        <w:ind w:left="5760" w:hanging="360"/>
      </w:pPr>
      <w:rPr>
        <w:rFonts w:ascii="Ericsson Hilda Light" w:hAnsi="Ericsson Hilda Light" w:hint="default"/>
      </w:rPr>
    </w:lvl>
    <w:lvl w:ilvl="8" w:tplc="8C62EE0E"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80A57BA"/>
    <w:multiLevelType w:val="hybridMultilevel"/>
    <w:tmpl w:val="CFFEE89C"/>
    <w:lvl w:ilvl="0" w:tplc="006EF454">
      <w:start w:val="1"/>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8"/>
  </w:num>
  <w:num w:numId="9">
    <w:abstractNumId w:val="2"/>
  </w:num>
  <w:num w:numId="10">
    <w:abstractNumId w:val="5"/>
  </w:num>
  <w:num w:numId="11">
    <w:abstractNumId w:val="4"/>
  </w:num>
  <w:num w:numId="12">
    <w:abstractNumId w:val="1"/>
  </w:num>
  <w:num w:numId="1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486"/>
    <w:rsid w:val="00003A8F"/>
    <w:rsid w:val="000060CC"/>
    <w:rsid w:val="000065E5"/>
    <w:rsid w:val="000066B3"/>
    <w:rsid w:val="00010ABA"/>
    <w:rsid w:val="00015A43"/>
    <w:rsid w:val="000223DA"/>
    <w:rsid w:val="00027197"/>
    <w:rsid w:val="000365C0"/>
    <w:rsid w:val="00037B64"/>
    <w:rsid w:val="00045FAE"/>
    <w:rsid w:val="000473BA"/>
    <w:rsid w:val="00047505"/>
    <w:rsid w:val="0005398C"/>
    <w:rsid w:val="00053C06"/>
    <w:rsid w:val="0005457F"/>
    <w:rsid w:val="00055E1E"/>
    <w:rsid w:val="00064550"/>
    <w:rsid w:val="00081EE4"/>
    <w:rsid w:val="00087262"/>
    <w:rsid w:val="00087FC6"/>
    <w:rsid w:val="00094C22"/>
    <w:rsid w:val="000A013B"/>
    <w:rsid w:val="000A4671"/>
    <w:rsid w:val="000A4BA8"/>
    <w:rsid w:val="000B0674"/>
    <w:rsid w:val="000B3F18"/>
    <w:rsid w:val="000B5351"/>
    <w:rsid w:val="000C2A4B"/>
    <w:rsid w:val="000C4B11"/>
    <w:rsid w:val="000C56D1"/>
    <w:rsid w:val="000C6FB9"/>
    <w:rsid w:val="000D047F"/>
    <w:rsid w:val="000E4236"/>
    <w:rsid w:val="000F01EA"/>
    <w:rsid w:val="000F3FD3"/>
    <w:rsid w:val="000F52C2"/>
    <w:rsid w:val="000F6BF9"/>
    <w:rsid w:val="001026E0"/>
    <w:rsid w:val="00106980"/>
    <w:rsid w:val="00112161"/>
    <w:rsid w:val="00113404"/>
    <w:rsid w:val="0011718B"/>
    <w:rsid w:val="0012282C"/>
    <w:rsid w:val="00126103"/>
    <w:rsid w:val="00131F69"/>
    <w:rsid w:val="00137E5A"/>
    <w:rsid w:val="00140CF4"/>
    <w:rsid w:val="0014128F"/>
    <w:rsid w:val="00143BCA"/>
    <w:rsid w:val="00143E55"/>
    <w:rsid w:val="00146D27"/>
    <w:rsid w:val="00153C43"/>
    <w:rsid w:val="0016584E"/>
    <w:rsid w:val="00172A65"/>
    <w:rsid w:val="001751C7"/>
    <w:rsid w:val="00181DD3"/>
    <w:rsid w:val="00186432"/>
    <w:rsid w:val="001908A6"/>
    <w:rsid w:val="00190E15"/>
    <w:rsid w:val="001922CA"/>
    <w:rsid w:val="00193590"/>
    <w:rsid w:val="001964AB"/>
    <w:rsid w:val="00196E03"/>
    <w:rsid w:val="00197051"/>
    <w:rsid w:val="001A434E"/>
    <w:rsid w:val="001A4B0B"/>
    <w:rsid w:val="001B0BF8"/>
    <w:rsid w:val="001B325C"/>
    <w:rsid w:val="001B4E6C"/>
    <w:rsid w:val="001B5E2F"/>
    <w:rsid w:val="001B60DA"/>
    <w:rsid w:val="001B642A"/>
    <w:rsid w:val="001C11C8"/>
    <w:rsid w:val="001C2171"/>
    <w:rsid w:val="001C2838"/>
    <w:rsid w:val="001C61C3"/>
    <w:rsid w:val="001D255E"/>
    <w:rsid w:val="001D43DF"/>
    <w:rsid w:val="001D6E62"/>
    <w:rsid w:val="001D7289"/>
    <w:rsid w:val="001E1AA1"/>
    <w:rsid w:val="001E1E38"/>
    <w:rsid w:val="001E3125"/>
    <w:rsid w:val="001E6671"/>
    <w:rsid w:val="001F10F4"/>
    <w:rsid w:val="001F22F1"/>
    <w:rsid w:val="001F3977"/>
    <w:rsid w:val="001F4312"/>
    <w:rsid w:val="001F76FA"/>
    <w:rsid w:val="00201BEF"/>
    <w:rsid w:val="002051C4"/>
    <w:rsid w:val="00205754"/>
    <w:rsid w:val="00207089"/>
    <w:rsid w:val="00213960"/>
    <w:rsid w:val="0021493B"/>
    <w:rsid w:val="00214A83"/>
    <w:rsid w:val="0022146E"/>
    <w:rsid w:val="00227B92"/>
    <w:rsid w:val="00230867"/>
    <w:rsid w:val="00230B42"/>
    <w:rsid w:val="00232866"/>
    <w:rsid w:val="0023734B"/>
    <w:rsid w:val="0024218E"/>
    <w:rsid w:val="0024675E"/>
    <w:rsid w:val="002558B4"/>
    <w:rsid w:val="0027018A"/>
    <w:rsid w:val="002709F4"/>
    <w:rsid w:val="00270AA5"/>
    <w:rsid w:val="002740FC"/>
    <w:rsid w:val="002752FA"/>
    <w:rsid w:val="002822AB"/>
    <w:rsid w:val="002904E5"/>
    <w:rsid w:val="00291908"/>
    <w:rsid w:val="00295D34"/>
    <w:rsid w:val="00296F17"/>
    <w:rsid w:val="002A4476"/>
    <w:rsid w:val="002A4756"/>
    <w:rsid w:val="002B1009"/>
    <w:rsid w:val="002B2DEA"/>
    <w:rsid w:val="002B5485"/>
    <w:rsid w:val="002C031F"/>
    <w:rsid w:val="002C1193"/>
    <w:rsid w:val="002C7C54"/>
    <w:rsid w:val="002D31DA"/>
    <w:rsid w:val="002D37C0"/>
    <w:rsid w:val="002D682E"/>
    <w:rsid w:val="002D7F5F"/>
    <w:rsid w:val="002E05E4"/>
    <w:rsid w:val="002E099B"/>
    <w:rsid w:val="002E223F"/>
    <w:rsid w:val="002E6BE6"/>
    <w:rsid w:val="002E7172"/>
    <w:rsid w:val="002F306D"/>
    <w:rsid w:val="002F47C1"/>
    <w:rsid w:val="002F7A3C"/>
    <w:rsid w:val="00300DD2"/>
    <w:rsid w:val="00301A90"/>
    <w:rsid w:val="0030577C"/>
    <w:rsid w:val="0031028C"/>
    <w:rsid w:val="00311AF6"/>
    <w:rsid w:val="00311F1E"/>
    <w:rsid w:val="003166BB"/>
    <w:rsid w:val="00321881"/>
    <w:rsid w:val="00325E09"/>
    <w:rsid w:val="00326E0E"/>
    <w:rsid w:val="00327101"/>
    <w:rsid w:val="003302BF"/>
    <w:rsid w:val="00330428"/>
    <w:rsid w:val="00335295"/>
    <w:rsid w:val="00340126"/>
    <w:rsid w:val="00340808"/>
    <w:rsid w:val="00340E3C"/>
    <w:rsid w:val="00341562"/>
    <w:rsid w:val="00341A0E"/>
    <w:rsid w:val="00341A6A"/>
    <w:rsid w:val="0034549C"/>
    <w:rsid w:val="00345792"/>
    <w:rsid w:val="00351ED6"/>
    <w:rsid w:val="0036046D"/>
    <w:rsid w:val="003612B0"/>
    <w:rsid w:val="00361B2C"/>
    <w:rsid w:val="0036311F"/>
    <w:rsid w:val="00365053"/>
    <w:rsid w:val="003667E8"/>
    <w:rsid w:val="0037352B"/>
    <w:rsid w:val="00373AB2"/>
    <w:rsid w:val="00377B7A"/>
    <w:rsid w:val="0038060D"/>
    <w:rsid w:val="0038632E"/>
    <w:rsid w:val="00393C65"/>
    <w:rsid w:val="00393D9C"/>
    <w:rsid w:val="0039653B"/>
    <w:rsid w:val="003A4708"/>
    <w:rsid w:val="003A789F"/>
    <w:rsid w:val="003B050D"/>
    <w:rsid w:val="003B6B34"/>
    <w:rsid w:val="003B7930"/>
    <w:rsid w:val="003B7A42"/>
    <w:rsid w:val="003C22DD"/>
    <w:rsid w:val="003C2573"/>
    <w:rsid w:val="003C3B3F"/>
    <w:rsid w:val="003C51F4"/>
    <w:rsid w:val="003C548B"/>
    <w:rsid w:val="003D2B44"/>
    <w:rsid w:val="003D3DC3"/>
    <w:rsid w:val="003D3FA3"/>
    <w:rsid w:val="003D5EBD"/>
    <w:rsid w:val="003D6839"/>
    <w:rsid w:val="003E005C"/>
    <w:rsid w:val="003E153B"/>
    <w:rsid w:val="003E565E"/>
    <w:rsid w:val="003F172E"/>
    <w:rsid w:val="003F35B7"/>
    <w:rsid w:val="003F5398"/>
    <w:rsid w:val="003F57AE"/>
    <w:rsid w:val="003F66B7"/>
    <w:rsid w:val="003F6C4B"/>
    <w:rsid w:val="0040430C"/>
    <w:rsid w:val="00411765"/>
    <w:rsid w:val="00414B2D"/>
    <w:rsid w:val="00420D26"/>
    <w:rsid w:val="00433EA7"/>
    <w:rsid w:val="00442AAF"/>
    <w:rsid w:val="00443BAE"/>
    <w:rsid w:val="00445476"/>
    <w:rsid w:val="00447F6B"/>
    <w:rsid w:val="00451AEB"/>
    <w:rsid w:val="00464390"/>
    <w:rsid w:val="00466F46"/>
    <w:rsid w:val="00470F0C"/>
    <w:rsid w:val="004729F9"/>
    <w:rsid w:val="00473B34"/>
    <w:rsid w:val="00475477"/>
    <w:rsid w:val="00475F8A"/>
    <w:rsid w:val="004775A1"/>
    <w:rsid w:val="004812A1"/>
    <w:rsid w:val="00483F68"/>
    <w:rsid w:val="00487578"/>
    <w:rsid w:val="00491917"/>
    <w:rsid w:val="00495273"/>
    <w:rsid w:val="0049532E"/>
    <w:rsid w:val="004A16A7"/>
    <w:rsid w:val="004A1A9D"/>
    <w:rsid w:val="004A4CC6"/>
    <w:rsid w:val="004A5BA0"/>
    <w:rsid w:val="004B0293"/>
    <w:rsid w:val="004B0832"/>
    <w:rsid w:val="004B0D6D"/>
    <w:rsid w:val="004B215C"/>
    <w:rsid w:val="004C06F5"/>
    <w:rsid w:val="004C0AE9"/>
    <w:rsid w:val="004C4D12"/>
    <w:rsid w:val="004D2EBF"/>
    <w:rsid w:val="004D37BB"/>
    <w:rsid w:val="004D4152"/>
    <w:rsid w:val="004D4601"/>
    <w:rsid w:val="004E13C4"/>
    <w:rsid w:val="004E1E0A"/>
    <w:rsid w:val="004E6926"/>
    <w:rsid w:val="004E751E"/>
    <w:rsid w:val="004F74AC"/>
    <w:rsid w:val="004F7A72"/>
    <w:rsid w:val="00503413"/>
    <w:rsid w:val="00503B26"/>
    <w:rsid w:val="0050609C"/>
    <w:rsid w:val="00507220"/>
    <w:rsid w:val="00511261"/>
    <w:rsid w:val="00511919"/>
    <w:rsid w:val="005157F9"/>
    <w:rsid w:val="00521824"/>
    <w:rsid w:val="00524C89"/>
    <w:rsid w:val="005268BB"/>
    <w:rsid w:val="00532919"/>
    <w:rsid w:val="005354E1"/>
    <w:rsid w:val="00536A2E"/>
    <w:rsid w:val="00537284"/>
    <w:rsid w:val="00545D10"/>
    <w:rsid w:val="00551BD7"/>
    <w:rsid w:val="00551DAA"/>
    <w:rsid w:val="005521C5"/>
    <w:rsid w:val="00552D66"/>
    <w:rsid w:val="0055406A"/>
    <w:rsid w:val="0056732E"/>
    <w:rsid w:val="00580137"/>
    <w:rsid w:val="00582006"/>
    <w:rsid w:val="005861CF"/>
    <w:rsid w:val="00586414"/>
    <w:rsid w:val="00591123"/>
    <w:rsid w:val="00595042"/>
    <w:rsid w:val="00595E99"/>
    <w:rsid w:val="00596467"/>
    <w:rsid w:val="005A0014"/>
    <w:rsid w:val="005A41B4"/>
    <w:rsid w:val="005A456C"/>
    <w:rsid w:val="005B1C2B"/>
    <w:rsid w:val="005B537E"/>
    <w:rsid w:val="005B53F2"/>
    <w:rsid w:val="005C3812"/>
    <w:rsid w:val="005C52AF"/>
    <w:rsid w:val="005D209C"/>
    <w:rsid w:val="005D39AC"/>
    <w:rsid w:val="005D3C0B"/>
    <w:rsid w:val="005D4495"/>
    <w:rsid w:val="005E3D86"/>
    <w:rsid w:val="005E7DF7"/>
    <w:rsid w:val="005F3107"/>
    <w:rsid w:val="005F3CD9"/>
    <w:rsid w:val="005F6293"/>
    <w:rsid w:val="005F6EAF"/>
    <w:rsid w:val="005F77DB"/>
    <w:rsid w:val="005F7BA5"/>
    <w:rsid w:val="005F7C81"/>
    <w:rsid w:val="005F7FDC"/>
    <w:rsid w:val="00600974"/>
    <w:rsid w:val="00600F88"/>
    <w:rsid w:val="00605BD4"/>
    <w:rsid w:val="00613A3A"/>
    <w:rsid w:val="00622D37"/>
    <w:rsid w:val="00624A27"/>
    <w:rsid w:val="0062631C"/>
    <w:rsid w:val="00626718"/>
    <w:rsid w:val="00627179"/>
    <w:rsid w:val="00641090"/>
    <w:rsid w:val="0064241A"/>
    <w:rsid w:val="0064422E"/>
    <w:rsid w:val="00645D90"/>
    <w:rsid w:val="00652C16"/>
    <w:rsid w:val="00654712"/>
    <w:rsid w:val="00655F62"/>
    <w:rsid w:val="0065674D"/>
    <w:rsid w:val="00656EF9"/>
    <w:rsid w:val="00662320"/>
    <w:rsid w:val="00677C14"/>
    <w:rsid w:val="0068309D"/>
    <w:rsid w:val="00684FD5"/>
    <w:rsid w:val="0068556D"/>
    <w:rsid w:val="00687DB5"/>
    <w:rsid w:val="00687F50"/>
    <w:rsid w:val="006945C7"/>
    <w:rsid w:val="00694F21"/>
    <w:rsid w:val="006968AF"/>
    <w:rsid w:val="00697412"/>
    <w:rsid w:val="0069798E"/>
    <w:rsid w:val="006A00F4"/>
    <w:rsid w:val="006A0688"/>
    <w:rsid w:val="006A0728"/>
    <w:rsid w:val="006A11A5"/>
    <w:rsid w:val="006A30B1"/>
    <w:rsid w:val="006A369D"/>
    <w:rsid w:val="006A3F21"/>
    <w:rsid w:val="006A4DB5"/>
    <w:rsid w:val="006A690A"/>
    <w:rsid w:val="006B1C91"/>
    <w:rsid w:val="006B20BB"/>
    <w:rsid w:val="006B2C74"/>
    <w:rsid w:val="006D2859"/>
    <w:rsid w:val="006D4BFA"/>
    <w:rsid w:val="006D7845"/>
    <w:rsid w:val="006E03BC"/>
    <w:rsid w:val="006E066D"/>
    <w:rsid w:val="006E06E4"/>
    <w:rsid w:val="006E1D67"/>
    <w:rsid w:val="006E4691"/>
    <w:rsid w:val="006E77C0"/>
    <w:rsid w:val="006E7FC2"/>
    <w:rsid w:val="006F0D34"/>
    <w:rsid w:val="006F1288"/>
    <w:rsid w:val="006F2AC8"/>
    <w:rsid w:val="006F4146"/>
    <w:rsid w:val="006F43C7"/>
    <w:rsid w:val="006F6F5D"/>
    <w:rsid w:val="006F7172"/>
    <w:rsid w:val="006F77E0"/>
    <w:rsid w:val="007022D5"/>
    <w:rsid w:val="00714B15"/>
    <w:rsid w:val="0072321C"/>
    <w:rsid w:val="0074165D"/>
    <w:rsid w:val="007512EC"/>
    <w:rsid w:val="00762976"/>
    <w:rsid w:val="0076395F"/>
    <w:rsid w:val="00763AAE"/>
    <w:rsid w:val="00765F68"/>
    <w:rsid w:val="00770152"/>
    <w:rsid w:val="00770759"/>
    <w:rsid w:val="00772DA4"/>
    <w:rsid w:val="00775C60"/>
    <w:rsid w:val="00775C65"/>
    <w:rsid w:val="00780988"/>
    <w:rsid w:val="00783DD0"/>
    <w:rsid w:val="0078406F"/>
    <w:rsid w:val="00784D1E"/>
    <w:rsid w:val="00785380"/>
    <w:rsid w:val="00785B51"/>
    <w:rsid w:val="00790435"/>
    <w:rsid w:val="007A06E4"/>
    <w:rsid w:val="007A0CE2"/>
    <w:rsid w:val="007A4470"/>
    <w:rsid w:val="007A49CA"/>
    <w:rsid w:val="007A6B98"/>
    <w:rsid w:val="007B19A5"/>
    <w:rsid w:val="007B2593"/>
    <w:rsid w:val="007B33A6"/>
    <w:rsid w:val="007B3713"/>
    <w:rsid w:val="007B3F2D"/>
    <w:rsid w:val="007B5238"/>
    <w:rsid w:val="007B75EE"/>
    <w:rsid w:val="007C4FC6"/>
    <w:rsid w:val="007C7168"/>
    <w:rsid w:val="007D34EC"/>
    <w:rsid w:val="007D3D78"/>
    <w:rsid w:val="007D496F"/>
    <w:rsid w:val="007D4978"/>
    <w:rsid w:val="007D5BDD"/>
    <w:rsid w:val="007E1470"/>
    <w:rsid w:val="007E37BA"/>
    <w:rsid w:val="007E472B"/>
    <w:rsid w:val="007E4A64"/>
    <w:rsid w:val="007F405B"/>
    <w:rsid w:val="007F473E"/>
    <w:rsid w:val="007F64BA"/>
    <w:rsid w:val="00800BFA"/>
    <w:rsid w:val="008016F4"/>
    <w:rsid w:val="008041CA"/>
    <w:rsid w:val="008047F3"/>
    <w:rsid w:val="00807676"/>
    <w:rsid w:val="0081407A"/>
    <w:rsid w:val="00814668"/>
    <w:rsid w:val="00820226"/>
    <w:rsid w:val="00820508"/>
    <w:rsid w:val="00825FC9"/>
    <w:rsid w:val="00831232"/>
    <w:rsid w:val="008352B3"/>
    <w:rsid w:val="00845E8B"/>
    <w:rsid w:val="0085097C"/>
    <w:rsid w:val="00851252"/>
    <w:rsid w:val="0085320C"/>
    <w:rsid w:val="00861D00"/>
    <w:rsid w:val="00862C33"/>
    <w:rsid w:val="008631D4"/>
    <w:rsid w:val="00866E48"/>
    <w:rsid w:val="00871D18"/>
    <w:rsid w:val="0088061E"/>
    <w:rsid w:val="00880CFA"/>
    <w:rsid w:val="00885312"/>
    <w:rsid w:val="00885DBE"/>
    <w:rsid w:val="008919E8"/>
    <w:rsid w:val="00893378"/>
    <w:rsid w:val="00895716"/>
    <w:rsid w:val="008A1457"/>
    <w:rsid w:val="008A15C8"/>
    <w:rsid w:val="008A48B3"/>
    <w:rsid w:val="008D1392"/>
    <w:rsid w:val="008D7EBC"/>
    <w:rsid w:val="008F0C4B"/>
    <w:rsid w:val="008F1EBB"/>
    <w:rsid w:val="008F2759"/>
    <w:rsid w:val="008F27C6"/>
    <w:rsid w:val="008F4901"/>
    <w:rsid w:val="008F77A6"/>
    <w:rsid w:val="00901FEE"/>
    <w:rsid w:val="00902512"/>
    <w:rsid w:val="0090388F"/>
    <w:rsid w:val="00904F2E"/>
    <w:rsid w:val="0090774F"/>
    <w:rsid w:val="00910E9F"/>
    <w:rsid w:val="00911F99"/>
    <w:rsid w:val="00912219"/>
    <w:rsid w:val="00917760"/>
    <w:rsid w:val="0092009D"/>
    <w:rsid w:val="00924336"/>
    <w:rsid w:val="009275C3"/>
    <w:rsid w:val="00935815"/>
    <w:rsid w:val="009375AD"/>
    <w:rsid w:val="00942658"/>
    <w:rsid w:val="0094538F"/>
    <w:rsid w:val="00950C57"/>
    <w:rsid w:val="00953E30"/>
    <w:rsid w:val="00955ED9"/>
    <w:rsid w:val="00974506"/>
    <w:rsid w:val="00977E21"/>
    <w:rsid w:val="00983A70"/>
    <w:rsid w:val="009844E3"/>
    <w:rsid w:val="009873E9"/>
    <w:rsid w:val="00987DBB"/>
    <w:rsid w:val="0099010C"/>
    <w:rsid w:val="00993DCB"/>
    <w:rsid w:val="009940F1"/>
    <w:rsid w:val="00994666"/>
    <w:rsid w:val="009B51C8"/>
    <w:rsid w:val="009B7A24"/>
    <w:rsid w:val="009C06A1"/>
    <w:rsid w:val="009D0FFE"/>
    <w:rsid w:val="009D7002"/>
    <w:rsid w:val="009D72EB"/>
    <w:rsid w:val="009E2CE9"/>
    <w:rsid w:val="009E30EF"/>
    <w:rsid w:val="009E3E6F"/>
    <w:rsid w:val="009E4C2E"/>
    <w:rsid w:val="009E783A"/>
    <w:rsid w:val="009F218F"/>
    <w:rsid w:val="009F52B9"/>
    <w:rsid w:val="00A01251"/>
    <w:rsid w:val="00A0130D"/>
    <w:rsid w:val="00A04450"/>
    <w:rsid w:val="00A05CEE"/>
    <w:rsid w:val="00A129FE"/>
    <w:rsid w:val="00A20B11"/>
    <w:rsid w:val="00A21A55"/>
    <w:rsid w:val="00A22A33"/>
    <w:rsid w:val="00A24CE1"/>
    <w:rsid w:val="00A31C11"/>
    <w:rsid w:val="00A36825"/>
    <w:rsid w:val="00A549A8"/>
    <w:rsid w:val="00A62F8A"/>
    <w:rsid w:val="00A64B2E"/>
    <w:rsid w:val="00A71315"/>
    <w:rsid w:val="00A76933"/>
    <w:rsid w:val="00A9104C"/>
    <w:rsid w:val="00A92121"/>
    <w:rsid w:val="00A94997"/>
    <w:rsid w:val="00AB1CDA"/>
    <w:rsid w:val="00AB1F90"/>
    <w:rsid w:val="00AB2A39"/>
    <w:rsid w:val="00AB4383"/>
    <w:rsid w:val="00AB5CD4"/>
    <w:rsid w:val="00AB6F4E"/>
    <w:rsid w:val="00AC0B86"/>
    <w:rsid w:val="00AC6069"/>
    <w:rsid w:val="00AC73E6"/>
    <w:rsid w:val="00AD05B8"/>
    <w:rsid w:val="00AD07DD"/>
    <w:rsid w:val="00AD3CB8"/>
    <w:rsid w:val="00AD46B7"/>
    <w:rsid w:val="00AD6488"/>
    <w:rsid w:val="00AF21C0"/>
    <w:rsid w:val="00AF40AC"/>
    <w:rsid w:val="00AF5498"/>
    <w:rsid w:val="00AF5EDE"/>
    <w:rsid w:val="00B024B0"/>
    <w:rsid w:val="00B02797"/>
    <w:rsid w:val="00B033F0"/>
    <w:rsid w:val="00B03B68"/>
    <w:rsid w:val="00B06D60"/>
    <w:rsid w:val="00B075D4"/>
    <w:rsid w:val="00B0773D"/>
    <w:rsid w:val="00B07C26"/>
    <w:rsid w:val="00B1247D"/>
    <w:rsid w:val="00B13741"/>
    <w:rsid w:val="00B16E3A"/>
    <w:rsid w:val="00B17DDB"/>
    <w:rsid w:val="00B2263D"/>
    <w:rsid w:val="00B23474"/>
    <w:rsid w:val="00B254FB"/>
    <w:rsid w:val="00B308CB"/>
    <w:rsid w:val="00B31856"/>
    <w:rsid w:val="00B324E8"/>
    <w:rsid w:val="00B328C8"/>
    <w:rsid w:val="00B32F7F"/>
    <w:rsid w:val="00B351B3"/>
    <w:rsid w:val="00B35BC4"/>
    <w:rsid w:val="00B51159"/>
    <w:rsid w:val="00B71F9D"/>
    <w:rsid w:val="00B72B45"/>
    <w:rsid w:val="00B7654F"/>
    <w:rsid w:val="00B80963"/>
    <w:rsid w:val="00B83921"/>
    <w:rsid w:val="00B84E63"/>
    <w:rsid w:val="00B8537D"/>
    <w:rsid w:val="00B85D88"/>
    <w:rsid w:val="00B871DC"/>
    <w:rsid w:val="00B91DC6"/>
    <w:rsid w:val="00B93622"/>
    <w:rsid w:val="00BA1E27"/>
    <w:rsid w:val="00BA2338"/>
    <w:rsid w:val="00BA698C"/>
    <w:rsid w:val="00BB1061"/>
    <w:rsid w:val="00BB1A18"/>
    <w:rsid w:val="00BB26F7"/>
    <w:rsid w:val="00BB2CAF"/>
    <w:rsid w:val="00BB4239"/>
    <w:rsid w:val="00BB55D5"/>
    <w:rsid w:val="00BB7D88"/>
    <w:rsid w:val="00BC1333"/>
    <w:rsid w:val="00BC46D6"/>
    <w:rsid w:val="00BC6250"/>
    <w:rsid w:val="00BD04E2"/>
    <w:rsid w:val="00BD061E"/>
    <w:rsid w:val="00BD4AB9"/>
    <w:rsid w:val="00BD4FE2"/>
    <w:rsid w:val="00BD5FBD"/>
    <w:rsid w:val="00BD79F3"/>
    <w:rsid w:val="00BE4695"/>
    <w:rsid w:val="00BE5568"/>
    <w:rsid w:val="00BE565A"/>
    <w:rsid w:val="00BE5DDD"/>
    <w:rsid w:val="00BE64A4"/>
    <w:rsid w:val="00BE787F"/>
    <w:rsid w:val="00C079FF"/>
    <w:rsid w:val="00C122FF"/>
    <w:rsid w:val="00C130BE"/>
    <w:rsid w:val="00C14AEB"/>
    <w:rsid w:val="00C14C6E"/>
    <w:rsid w:val="00C154DE"/>
    <w:rsid w:val="00C15F87"/>
    <w:rsid w:val="00C21CA1"/>
    <w:rsid w:val="00C26933"/>
    <w:rsid w:val="00C312F2"/>
    <w:rsid w:val="00C3259E"/>
    <w:rsid w:val="00C325DD"/>
    <w:rsid w:val="00C3417C"/>
    <w:rsid w:val="00C37DC0"/>
    <w:rsid w:val="00C412BB"/>
    <w:rsid w:val="00C4479E"/>
    <w:rsid w:val="00C53EF2"/>
    <w:rsid w:val="00C53FD0"/>
    <w:rsid w:val="00C55173"/>
    <w:rsid w:val="00C60A93"/>
    <w:rsid w:val="00C618F2"/>
    <w:rsid w:val="00C61F19"/>
    <w:rsid w:val="00C62BD7"/>
    <w:rsid w:val="00C64025"/>
    <w:rsid w:val="00C65FA6"/>
    <w:rsid w:val="00C7241D"/>
    <w:rsid w:val="00C72D77"/>
    <w:rsid w:val="00C847F0"/>
    <w:rsid w:val="00C91C8F"/>
    <w:rsid w:val="00C94CA5"/>
    <w:rsid w:val="00C97A33"/>
    <w:rsid w:val="00C97B29"/>
    <w:rsid w:val="00CA2B12"/>
    <w:rsid w:val="00CA410F"/>
    <w:rsid w:val="00CA54AD"/>
    <w:rsid w:val="00CA5B56"/>
    <w:rsid w:val="00CB2AAE"/>
    <w:rsid w:val="00CB3BD8"/>
    <w:rsid w:val="00CC1FD7"/>
    <w:rsid w:val="00CC2735"/>
    <w:rsid w:val="00CD266B"/>
    <w:rsid w:val="00CD7124"/>
    <w:rsid w:val="00CD7B4F"/>
    <w:rsid w:val="00CF1131"/>
    <w:rsid w:val="00CF7586"/>
    <w:rsid w:val="00D01564"/>
    <w:rsid w:val="00D01FB7"/>
    <w:rsid w:val="00D03BDA"/>
    <w:rsid w:val="00D03BEB"/>
    <w:rsid w:val="00D06D1A"/>
    <w:rsid w:val="00D13C3B"/>
    <w:rsid w:val="00D173B0"/>
    <w:rsid w:val="00D23965"/>
    <w:rsid w:val="00D3050B"/>
    <w:rsid w:val="00D30B19"/>
    <w:rsid w:val="00D35A57"/>
    <w:rsid w:val="00D371AC"/>
    <w:rsid w:val="00D40C08"/>
    <w:rsid w:val="00D45365"/>
    <w:rsid w:val="00D5078D"/>
    <w:rsid w:val="00D53773"/>
    <w:rsid w:val="00D5583E"/>
    <w:rsid w:val="00D56FB0"/>
    <w:rsid w:val="00D62A7E"/>
    <w:rsid w:val="00D755D0"/>
    <w:rsid w:val="00D82292"/>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2008"/>
    <w:rsid w:val="00E0300A"/>
    <w:rsid w:val="00E05E85"/>
    <w:rsid w:val="00E14164"/>
    <w:rsid w:val="00E1552B"/>
    <w:rsid w:val="00E15EBC"/>
    <w:rsid w:val="00E1697D"/>
    <w:rsid w:val="00E17DD2"/>
    <w:rsid w:val="00E24B52"/>
    <w:rsid w:val="00E37B61"/>
    <w:rsid w:val="00E407E9"/>
    <w:rsid w:val="00E40E35"/>
    <w:rsid w:val="00E451C5"/>
    <w:rsid w:val="00E475BC"/>
    <w:rsid w:val="00E50705"/>
    <w:rsid w:val="00E55A46"/>
    <w:rsid w:val="00E55D70"/>
    <w:rsid w:val="00E60A21"/>
    <w:rsid w:val="00E65E6F"/>
    <w:rsid w:val="00E67B29"/>
    <w:rsid w:val="00E7100D"/>
    <w:rsid w:val="00E7224A"/>
    <w:rsid w:val="00E77E5D"/>
    <w:rsid w:val="00E87BD8"/>
    <w:rsid w:val="00E9347F"/>
    <w:rsid w:val="00E942DB"/>
    <w:rsid w:val="00EA2010"/>
    <w:rsid w:val="00EB16FE"/>
    <w:rsid w:val="00EB425D"/>
    <w:rsid w:val="00EC4A80"/>
    <w:rsid w:val="00EC5010"/>
    <w:rsid w:val="00EC57CC"/>
    <w:rsid w:val="00EC5E9A"/>
    <w:rsid w:val="00EC67B9"/>
    <w:rsid w:val="00ED402C"/>
    <w:rsid w:val="00ED7926"/>
    <w:rsid w:val="00ED799E"/>
    <w:rsid w:val="00EE1484"/>
    <w:rsid w:val="00EE3D43"/>
    <w:rsid w:val="00EF04C2"/>
    <w:rsid w:val="00EF0808"/>
    <w:rsid w:val="00EF16A2"/>
    <w:rsid w:val="00EF1863"/>
    <w:rsid w:val="00EF24C2"/>
    <w:rsid w:val="00EF4F27"/>
    <w:rsid w:val="00EF77A3"/>
    <w:rsid w:val="00EF7F55"/>
    <w:rsid w:val="00F022AD"/>
    <w:rsid w:val="00F044F8"/>
    <w:rsid w:val="00F05095"/>
    <w:rsid w:val="00F05239"/>
    <w:rsid w:val="00F11414"/>
    <w:rsid w:val="00F139EA"/>
    <w:rsid w:val="00F161B7"/>
    <w:rsid w:val="00F252A8"/>
    <w:rsid w:val="00F270BC"/>
    <w:rsid w:val="00F27DD5"/>
    <w:rsid w:val="00F3519B"/>
    <w:rsid w:val="00F364DD"/>
    <w:rsid w:val="00F37346"/>
    <w:rsid w:val="00F37EE5"/>
    <w:rsid w:val="00F44361"/>
    <w:rsid w:val="00F455AA"/>
    <w:rsid w:val="00F4681D"/>
    <w:rsid w:val="00F54E11"/>
    <w:rsid w:val="00F55148"/>
    <w:rsid w:val="00F621C7"/>
    <w:rsid w:val="00F722BB"/>
    <w:rsid w:val="00F73BE8"/>
    <w:rsid w:val="00F7595B"/>
    <w:rsid w:val="00F80270"/>
    <w:rsid w:val="00F802BD"/>
    <w:rsid w:val="00F84E5B"/>
    <w:rsid w:val="00F86D33"/>
    <w:rsid w:val="00F90517"/>
    <w:rsid w:val="00F914D8"/>
    <w:rsid w:val="00F939F1"/>
    <w:rsid w:val="00F96D48"/>
    <w:rsid w:val="00FA1F66"/>
    <w:rsid w:val="00FA2ECB"/>
    <w:rsid w:val="00FA490B"/>
    <w:rsid w:val="00FA4C88"/>
    <w:rsid w:val="00FA57F9"/>
    <w:rsid w:val="00FA624E"/>
    <w:rsid w:val="00FB0340"/>
    <w:rsid w:val="00FB391E"/>
    <w:rsid w:val="00FC14C5"/>
    <w:rsid w:val="00FC2B70"/>
    <w:rsid w:val="00FC447D"/>
    <w:rsid w:val="00FC455B"/>
    <w:rsid w:val="00FC470E"/>
    <w:rsid w:val="00FD0653"/>
    <w:rsid w:val="00FD0811"/>
    <w:rsid w:val="00FD0B96"/>
    <w:rsid w:val="00FD26F3"/>
    <w:rsid w:val="00FD3783"/>
    <w:rsid w:val="00FD523E"/>
    <w:rsid w:val="00FD5C23"/>
    <w:rsid w:val="00FD7050"/>
    <w:rsid w:val="00FE71C3"/>
    <w:rsid w:val="00FF1462"/>
    <w:rsid w:val="00FF25EA"/>
    <w:rsid w:val="00FF32DA"/>
    <w:rsid w:val="00FF3866"/>
    <w:rsid w:val="00FF465A"/>
    <w:rsid w:val="00FF4904"/>
    <w:rsid w:val="00FF4E61"/>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pPr>
    <w:rPr>
      <w:b/>
      <w:bCs/>
    </w:rPr>
  </w:style>
  <w:style w:type="paragraph" w:customStyle="1" w:styleId="Observation">
    <w:name w:val="Observation"/>
    <w:basedOn w:val="Proposal"/>
    <w:qFormat/>
    <w:rsid w:val="00201BEF"/>
    <w:pPr>
      <w:numPr>
        <w:numId w:val="4"/>
      </w:numPr>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E40E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081464">
      <w:bodyDiv w:val="1"/>
      <w:marLeft w:val="0"/>
      <w:marRight w:val="0"/>
      <w:marTop w:val="0"/>
      <w:marBottom w:val="0"/>
      <w:divBdr>
        <w:top w:val="none" w:sz="0" w:space="0" w:color="auto"/>
        <w:left w:val="none" w:sz="0" w:space="0" w:color="auto"/>
        <w:bottom w:val="none" w:sz="0" w:space="0" w:color="auto"/>
        <w:right w:val="none" w:sz="0" w:space="0" w:color="auto"/>
      </w:divBdr>
    </w:div>
    <w:div w:id="1405638993">
      <w:bodyDiv w:val="1"/>
      <w:marLeft w:val="0"/>
      <w:marRight w:val="0"/>
      <w:marTop w:val="0"/>
      <w:marBottom w:val="0"/>
      <w:divBdr>
        <w:top w:val="none" w:sz="0" w:space="0" w:color="auto"/>
        <w:left w:val="none" w:sz="0" w:space="0" w:color="auto"/>
        <w:bottom w:val="none" w:sz="0" w:space="0" w:color="auto"/>
        <w:right w:val="none" w:sz="0" w:space="0" w:color="auto"/>
      </w:divBdr>
      <w:divsChild>
        <w:div w:id="1119646656">
          <w:marLeft w:val="547"/>
          <w:marRight w:val="0"/>
          <w:marTop w:val="60"/>
          <w:marBottom w:val="0"/>
          <w:divBdr>
            <w:top w:val="none" w:sz="0" w:space="0" w:color="auto"/>
            <w:left w:val="none" w:sz="0" w:space="0" w:color="auto"/>
            <w:bottom w:val="none" w:sz="0" w:space="0" w:color="auto"/>
            <w:right w:val="none" w:sz="0" w:space="0" w:color="auto"/>
          </w:divBdr>
        </w:div>
        <w:div w:id="265619756">
          <w:marLeft w:val="547"/>
          <w:marRight w:val="0"/>
          <w:marTop w:val="60"/>
          <w:marBottom w:val="0"/>
          <w:divBdr>
            <w:top w:val="none" w:sz="0" w:space="0" w:color="auto"/>
            <w:left w:val="none" w:sz="0" w:space="0" w:color="auto"/>
            <w:bottom w:val="none" w:sz="0" w:space="0" w:color="auto"/>
            <w:right w:val="none" w:sz="0" w:space="0" w:color="auto"/>
          </w:divBdr>
        </w:div>
        <w:div w:id="1592200452">
          <w:marLeft w:val="547"/>
          <w:marRight w:val="0"/>
          <w:marTop w:val="60"/>
          <w:marBottom w:val="0"/>
          <w:divBdr>
            <w:top w:val="none" w:sz="0" w:space="0" w:color="auto"/>
            <w:left w:val="none" w:sz="0" w:space="0" w:color="auto"/>
            <w:bottom w:val="none" w:sz="0" w:space="0" w:color="auto"/>
            <w:right w:val="none" w:sz="0" w:space="0" w:color="auto"/>
          </w:divBdr>
        </w:div>
        <w:div w:id="731654839">
          <w:marLeft w:val="1123"/>
          <w:marRight w:val="0"/>
          <w:marTop w:val="60"/>
          <w:marBottom w:val="0"/>
          <w:divBdr>
            <w:top w:val="none" w:sz="0" w:space="0" w:color="auto"/>
            <w:left w:val="none" w:sz="0" w:space="0" w:color="auto"/>
            <w:bottom w:val="none" w:sz="0" w:space="0" w:color="auto"/>
            <w:right w:val="none" w:sz="0" w:space="0" w:color="auto"/>
          </w:divBdr>
        </w:div>
        <w:div w:id="1808474381">
          <w:marLeft w:val="547"/>
          <w:marRight w:val="0"/>
          <w:marTop w:val="60"/>
          <w:marBottom w:val="0"/>
          <w:divBdr>
            <w:top w:val="none" w:sz="0" w:space="0" w:color="auto"/>
            <w:left w:val="none" w:sz="0" w:space="0" w:color="auto"/>
            <w:bottom w:val="none" w:sz="0" w:space="0" w:color="auto"/>
            <w:right w:val="none" w:sz="0" w:space="0" w:color="auto"/>
          </w:divBdr>
        </w:div>
        <w:div w:id="1106383717">
          <w:marLeft w:val="547"/>
          <w:marRight w:val="0"/>
          <w:marTop w:val="60"/>
          <w:marBottom w:val="0"/>
          <w:divBdr>
            <w:top w:val="none" w:sz="0" w:space="0" w:color="auto"/>
            <w:left w:val="none" w:sz="0" w:space="0" w:color="auto"/>
            <w:bottom w:val="none" w:sz="0" w:space="0" w:color="auto"/>
            <w:right w:val="none" w:sz="0" w:space="0" w:color="auto"/>
          </w:divBdr>
        </w:div>
        <w:div w:id="1875076437">
          <w:marLeft w:val="547"/>
          <w:marRight w:val="0"/>
          <w:marTop w:val="60"/>
          <w:marBottom w:val="0"/>
          <w:divBdr>
            <w:top w:val="none" w:sz="0" w:space="0" w:color="auto"/>
            <w:left w:val="none" w:sz="0" w:space="0" w:color="auto"/>
            <w:bottom w:val="none" w:sz="0" w:space="0" w:color="auto"/>
            <w:right w:val="none" w:sz="0" w:space="0" w:color="auto"/>
          </w:divBdr>
        </w:div>
        <w:div w:id="178205205">
          <w:marLeft w:val="547"/>
          <w:marRight w:val="0"/>
          <w:marTop w:val="60"/>
          <w:marBottom w:val="0"/>
          <w:divBdr>
            <w:top w:val="none" w:sz="0" w:space="0" w:color="auto"/>
            <w:left w:val="none" w:sz="0" w:space="0" w:color="auto"/>
            <w:bottom w:val="none" w:sz="0" w:space="0" w:color="auto"/>
            <w:right w:val="none" w:sz="0" w:space="0" w:color="auto"/>
          </w:divBdr>
        </w:div>
        <w:div w:id="1109548222">
          <w:marLeft w:val="1123"/>
          <w:marRight w:val="0"/>
          <w:marTop w:val="60"/>
          <w:marBottom w:val="0"/>
          <w:divBdr>
            <w:top w:val="none" w:sz="0" w:space="0" w:color="auto"/>
            <w:left w:val="none" w:sz="0" w:space="0" w:color="auto"/>
            <w:bottom w:val="none" w:sz="0" w:space="0" w:color="auto"/>
            <w:right w:val="none" w:sz="0" w:space="0" w:color="auto"/>
          </w:divBdr>
        </w:div>
        <w:div w:id="144646197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db0a41eb-d744-45d5-8b0c-2f8d8a9f3cca"/>
    <ds:schemaRef ds:uri="cc7603ed-7603-4824-9004-1c5aaeadf2ab"/>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23A0C816-9F00-E74A-BEE7-FA936B62FC8B}">
  <ds:schemaRefs>
    <ds:schemaRef ds:uri="http://schemas.openxmlformats.org/officeDocument/2006/bibliography"/>
  </ds:schemaRefs>
</ds:datastoreItem>
</file>

<file path=customXml/itemProps4.xml><?xml version="1.0" encoding="utf-8"?>
<ds:datastoreItem xmlns:ds="http://schemas.openxmlformats.org/officeDocument/2006/customXml" ds:itemID="{36BB4FE5-EAAD-45A3-B285-3B774F522167}"/>
</file>

<file path=docProps/app.xml><?xml version="1.0" encoding="utf-8"?>
<Properties xmlns="http://schemas.openxmlformats.org/officeDocument/2006/extended-properties" xmlns:vt="http://schemas.openxmlformats.org/officeDocument/2006/docPropsVTypes">
  <Template>Normal.dotm</Template>
  <TotalTime>57</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Links>
    <vt:vector size="54" baseType="variant">
      <vt:variant>
        <vt:i4>1114169</vt:i4>
      </vt:variant>
      <vt:variant>
        <vt:i4>35</vt:i4>
      </vt:variant>
      <vt:variant>
        <vt:i4>0</vt:i4>
      </vt:variant>
      <vt:variant>
        <vt:i4>5</vt:i4>
      </vt:variant>
      <vt:variant>
        <vt:lpwstr/>
      </vt:variant>
      <vt:variant>
        <vt:lpwstr>_Toc16509242</vt:lpwstr>
      </vt:variant>
      <vt:variant>
        <vt:i4>1179705</vt:i4>
      </vt:variant>
      <vt:variant>
        <vt:i4>32</vt:i4>
      </vt:variant>
      <vt:variant>
        <vt:i4>0</vt:i4>
      </vt:variant>
      <vt:variant>
        <vt:i4>5</vt:i4>
      </vt:variant>
      <vt:variant>
        <vt:lpwstr/>
      </vt:variant>
      <vt:variant>
        <vt:lpwstr>_Toc16509241</vt:lpwstr>
      </vt:variant>
      <vt:variant>
        <vt:i4>1245241</vt:i4>
      </vt:variant>
      <vt:variant>
        <vt:i4>29</vt:i4>
      </vt:variant>
      <vt:variant>
        <vt:i4>0</vt:i4>
      </vt:variant>
      <vt:variant>
        <vt:i4>5</vt:i4>
      </vt:variant>
      <vt:variant>
        <vt:lpwstr/>
      </vt:variant>
      <vt:variant>
        <vt:lpwstr>_Toc16509240</vt:lpwstr>
      </vt:variant>
      <vt:variant>
        <vt:i4>1703998</vt:i4>
      </vt:variant>
      <vt:variant>
        <vt:i4>26</vt:i4>
      </vt:variant>
      <vt:variant>
        <vt:i4>0</vt:i4>
      </vt:variant>
      <vt:variant>
        <vt:i4>5</vt:i4>
      </vt:variant>
      <vt:variant>
        <vt:lpwstr/>
      </vt:variant>
      <vt:variant>
        <vt:lpwstr>_Toc16509239</vt:lpwstr>
      </vt:variant>
      <vt:variant>
        <vt:i4>1769534</vt:i4>
      </vt:variant>
      <vt:variant>
        <vt:i4>23</vt:i4>
      </vt:variant>
      <vt:variant>
        <vt:i4>0</vt:i4>
      </vt:variant>
      <vt:variant>
        <vt:i4>5</vt:i4>
      </vt:variant>
      <vt:variant>
        <vt:lpwstr/>
      </vt:variant>
      <vt:variant>
        <vt:lpwstr>_Toc16509238</vt:lpwstr>
      </vt:variant>
      <vt:variant>
        <vt:i4>1310782</vt:i4>
      </vt:variant>
      <vt:variant>
        <vt:i4>14</vt:i4>
      </vt:variant>
      <vt:variant>
        <vt:i4>0</vt:i4>
      </vt:variant>
      <vt:variant>
        <vt:i4>5</vt:i4>
      </vt:variant>
      <vt:variant>
        <vt:lpwstr/>
      </vt:variant>
      <vt:variant>
        <vt:lpwstr>_Toc16509237</vt:lpwstr>
      </vt:variant>
      <vt:variant>
        <vt:i4>1376318</vt:i4>
      </vt:variant>
      <vt:variant>
        <vt:i4>11</vt:i4>
      </vt:variant>
      <vt:variant>
        <vt:i4>0</vt:i4>
      </vt:variant>
      <vt:variant>
        <vt:i4>5</vt:i4>
      </vt:variant>
      <vt:variant>
        <vt:lpwstr/>
      </vt:variant>
      <vt:variant>
        <vt:lpwstr>_Toc16509236</vt:lpwstr>
      </vt:variant>
      <vt:variant>
        <vt:i4>1441854</vt:i4>
      </vt:variant>
      <vt:variant>
        <vt:i4>8</vt:i4>
      </vt:variant>
      <vt:variant>
        <vt:i4>0</vt:i4>
      </vt:variant>
      <vt:variant>
        <vt:i4>5</vt:i4>
      </vt:variant>
      <vt:variant>
        <vt:lpwstr/>
      </vt:variant>
      <vt:variant>
        <vt:lpwstr>_Toc16509235</vt:lpwstr>
      </vt:variant>
      <vt:variant>
        <vt:i4>1507390</vt:i4>
      </vt:variant>
      <vt:variant>
        <vt:i4>5</vt:i4>
      </vt:variant>
      <vt:variant>
        <vt:i4>0</vt:i4>
      </vt:variant>
      <vt:variant>
        <vt:i4>5</vt:i4>
      </vt:variant>
      <vt:variant>
        <vt:lpwstr/>
      </vt:variant>
      <vt:variant>
        <vt:lpwstr>_Toc16509234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2020-04-07T08:14:00Z</dcterms:created>
  <dcterms:modified xsi:type="dcterms:W3CDTF">2020-04-09T19:49:00Z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